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2452A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val="en-US" w:eastAsia="zh-CN"/>
        </w:rPr>
      </w:pPr>
    </w:p>
    <w:p w14:paraId="40334FAC">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val="en-US" w:eastAsia="zh-CN"/>
        </w:rPr>
      </w:pPr>
    </w:p>
    <w:p w14:paraId="0E7BE4DD">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val="en-US" w:eastAsia="zh-CN"/>
        </w:rPr>
      </w:pPr>
    </w:p>
    <w:p w14:paraId="0A162AEC">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sz w:val="44"/>
          <w:szCs w:val="44"/>
          <w:lang w:val="en-US" w:eastAsia="zh-CN"/>
        </w:rPr>
        <w:t>王乐井乡人民政府</w:t>
      </w:r>
    </w:p>
    <w:p w14:paraId="47AC15C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关于2024年行政执法工作总结的报告</w:t>
      </w:r>
      <w:bookmarkEnd w:id="0"/>
    </w:p>
    <w:p w14:paraId="7C63B56B">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val="en-US" w:eastAsia="zh-CN"/>
        </w:rPr>
      </w:pPr>
    </w:p>
    <w:p w14:paraId="5974CA7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今年</w:t>
      </w:r>
      <w:r>
        <w:rPr>
          <w:rFonts w:hint="eastAsia" w:ascii="仿宋_GB2312" w:hAnsi="仿宋_GB2312" w:eastAsia="仿宋_GB2312" w:cs="仿宋_GB2312"/>
          <w:sz w:val="32"/>
          <w:szCs w:val="32"/>
        </w:rPr>
        <w:t>以来，</w:t>
      </w:r>
      <w:r>
        <w:rPr>
          <w:rFonts w:hint="eastAsia" w:ascii="仿宋_GB2312" w:hAnsi="仿宋_GB2312" w:eastAsia="仿宋_GB2312" w:cs="仿宋_GB2312"/>
          <w:sz w:val="32"/>
          <w:szCs w:val="32"/>
          <w:lang w:val="en-US" w:eastAsia="zh-CN"/>
        </w:rPr>
        <w:t>王乐井乡</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政府的领导下，紧紧围绕基层工作的实际情况开展行政执法工作，通过加强执法队伍建设，强化执法人员培训，形成联动执法机制，加大对违规违法行为的打击查处力度等一系列措施逐步提升我</w:t>
      </w:r>
      <w:r>
        <w:rPr>
          <w:rFonts w:hint="eastAsia" w:ascii="仿宋_GB2312" w:hAnsi="仿宋_GB2312" w:eastAsia="仿宋_GB2312" w:cs="仿宋_GB2312"/>
          <w:sz w:val="32"/>
          <w:szCs w:val="32"/>
          <w:lang w:val="en-US" w:eastAsia="zh-CN"/>
        </w:rPr>
        <w:t>乡</w:t>
      </w:r>
      <w:r>
        <w:rPr>
          <w:rFonts w:hint="eastAsia" w:ascii="仿宋_GB2312" w:hAnsi="仿宋_GB2312" w:eastAsia="仿宋_GB2312" w:cs="仿宋_GB2312"/>
          <w:sz w:val="32"/>
          <w:szCs w:val="32"/>
        </w:rPr>
        <w:t>综合执法力度和效果，现将具体情况汇报如下</w:t>
      </w:r>
      <w:r>
        <w:rPr>
          <w:rFonts w:hint="eastAsia" w:ascii="仿宋_GB2312" w:hAnsi="仿宋_GB2312" w:eastAsia="仿宋_GB2312" w:cs="仿宋_GB2312"/>
          <w:sz w:val="32"/>
          <w:szCs w:val="32"/>
          <w:lang w:eastAsia="zh-CN"/>
        </w:rPr>
        <w:t>：</w:t>
      </w:r>
    </w:p>
    <w:p w14:paraId="43F4475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重点工作进展情况</w:t>
      </w:r>
    </w:p>
    <w:p w14:paraId="608E08D1">
      <w:pPr>
        <w:pStyle w:val="2"/>
        <w:keepNext w:val="0"/>
        <w:keepLines w:val="0"/>
        <w:pageBreakBefore w:val="0"/>
        <w:widowControl w:val="0"/>
        <w:numPr>
          <w:numId w:val="0"/>
        </w:numPr>
        <w:kinsoku/>
        <w:wordWrap/>
        <w:overflowPunct/>
        <w:topLinePunct w:val="0"/>
        <w:autoSpaceDE/>
        <w:autoSpaceDN/>
        <w:bidi w:val="0"/>
        <w:adjustRightInd/>
        <w:snapToGrid/>
        <w:spacing w:line="600" w:lineRule="exact"/>
        <w:ind w:right="0" w:rightChars="0"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楷体" w:hAnsi="楷体" w:eastAsia="楷体" w:cs="楷体"/>
          <w:b/>
          <w:bCs/>
          <w:sz w:val="32"/>
          <w:szCs w:val="32"/>
          <w:lang w:val="en-US" w:eastAsia="zh-CN"/>
        </w:rPr>
        <w:t>（一）深入学习贯彻习近平法治思想。</w:t>
      </w:r>
      <w:r>
        <w:rPr>
          <w:rFonts w:hint="default" w:ascii="仿宋_GB2312" w:hAnsi="仿宋_GB2312" w:eastAsia="仿宋_GB2312" w:cs="仿宋_GB2312"/>
          <w:b/>
          <w:bCs/>
          <w:color w:val="auto"/>
          <w:sz w:val="32"/>
          <w:szCs w:val="32"/>
          <w:lang w:val="en-US" w:eastAsia="zh-CN"/>
        </w:rPr>
        <w:t>一是推进法治学习常态化。</w:t>
      </w:r>
      <w:r>
        <w:rPr>
          <w:rFonts w:hint="default" w:ascii="仿宋_GB2312" w:hAnsi="仿宋_GB2312" w:eastAsia="仿宋_GB2312" w:cs="仿宋_GB2312"/>
          <w:color w:val="auto"/>
          <w:sz w:val="32"/>
          <w:szCs w:val="32"/>
          <w:lang w:val="en-US" w:eastAsia="zh-CN"/>
        </w:rPr>
        <w:t>深入组织开展习近平法治思想学习，将《习近平法治思想学习纲要》、</w:t>
      </w:r>
      <w:r>
        <w:rPr>
          <w:rFonts w:hint="eastAsia" w:ascii="仿宋_GB2312" w:hAnsi="仿宋_GB2312" w:eastAsia="仿宋_GB2312" w:cs="仿宋_GB2312"/>
          <w:color w:val="auto"/>
          <w:sz w:val="32"/>
          <w:szCs w:val="32"/>
          <w:lang w:val="en-US" w:eastAsia="zh-CN"/>
        </w:rPr>
        <w:t>《宪法》等</w:t>
      </w:r>
      <w:r>
        <w:rPr>
          <w:rFonts w:hint="default" w:ascii="仿宋_GB2312" w:hAnsi="仿宋_GB2312" w:eastAsia="仿宋_GB2312" w:cs="仿宋_GB2312"/>
          <w:color w:val="auto"/>
          <w:sz w:val="32"/>
          <w:szCs w:val="32"/>
          <w:lang w:val="en-US" w:eastAsia="zh-CN"/>
        </w:rPr>
        <w:t>纳入学习计划，作为</w:t>
      </w:r>
      <w:r>
        <w:rPr>
          <w:rFonts w:hint="eastAsia" w:ascii="仿宋_GB2312" w:hAnsi="仿宋_GB2312" w:eastAsia="仿宋_GB2312" w:cs="仿宋_GB2312"/>
          <w:color w:val="auto"/>
          <w:sz w:val="32"/>
          <w:szCs w:val="32"/>
          <w:lang w:val="en-US" w:eastAsia="zh-CN"/>
        </w:rPr>
        <w:t>乡</w:t>
      </w:r>
      <w:r>
        <w:rPr>
          <w:rFonts w:hint="default" w:ascii="仿宋_GB2312" w:hAnsi="仿宋_GB2312" w:eastAsia="仿宋_GB2312" w:cs="仿宋_GB2312"/>
          <w:color w:val="auto"/>
          <w:sz w:val="32"/>
          <w:szCs w:val="32"/>
          <w:lang w:val="en-US" w:eastAsia="zh-CN"/>
        </w:rPr>
        <w:t>党委理论学习中心组、干部培训、党员学习的重要内容，坚持全面系统学、及时跟进学、深入思考学、联系实际学，更加自觉用习近平法治思想指导解决实际问题。</w:t>
      </w:r>
      <w:r>
        <w:rPr>
          <w:rFonts w:hint="eastAsia" w:ascii="仿宋_GB2312" w:hAnsi="仿宋_GB2312" w:eastAsia="仿宋_GB2312" w:cs="仿宋_GB2312"/>
          <w:color w:val="auto"/>
          <w:sz w:val="32"/>
          <w:szCs w:val="32"/>
          <w:lang w:val="en-US" w:eastAsia="zh-CN"/>
        </w:rPr>
        <w:t>今年组织</w:t>
      </w:r>
      <w:r>
        <w:rPr>
          <w:rFonts w:hint="default" w:ascii="仿宋_GB2312" w:hAnsi="仿宋_GB2312" w:eastAsia="仿宋_GB2312" w:cs="仿宋_GB2312"/>
          <w:color w:val="auto"/>
          <w:sz w:val="32"/>
          <w:szCs w:val="32"/>
          <w:lang w:val="en-US" w:eastAsia="zh-CN"/>
        </w:rPr>
        <w:t>行政执法人员业务知识培训</w:t>
      </w:r>
      <w:r>
        <w:rPr>
          <w:rFonts w:hint="eastAsia" w:ascii="仿宋_GB2312" w:hAnsi="仿宋_GB2312" w:eastAsia="仿宋_GB2312" w:cs="仿宋_GB2312"/>
          <w:color w:val="auto"/>
          <w:sz w:val="32"/>
          <w:szCs w:val="32"/>
          <w:lang w:val="en-US" w:eastAsia="zh-CN"/>
        </w:rPr>
        <w:t>与</w:t>
      </w:r>
      <w:r>
        <w:rPr>
          <w:rFonts w:hint="default" w:ascii="仿宋_GB2312" w:hAnsi="仿宋_GB2312" w:eastAsia="仿宋_GB2312" w:cs="仿宋_GB2312"/>
          <w:color w:val="auto"/>
          <w:sz w:val="32"/>
          <w:szCs w:val="32"/>
          <w:lang w:val="en-US" w:eastAsia="zh-CN"/>
        </w:rPr>
        <w:t>行政执法人员技能培训</w:t>
      </w:r>
      <w:r>
        <w:rPr>
          <w:rFonts w:hint="eastAsia" w:ascii="仿宋_GB2312" w:hAnsi="仿宋_GB2312" w:eastAsia="仿宋_GB2312" w:cs="仿宋_GB2312"/>
          <w:color w:val="auto"/>
          <w:sz w:val="32"/>
          <w:szCs w:val="32"/>
          <w:lang w:val="en-US" w:eastAsia="zh-CN"/>
        </w:rPr>
        <w:t>4次，共计30个学时。</w:t>
      </w:r>
      <w:r>
        <w:rPr>
          <w:rFonts w:hint="eastAsia" w:ascii="仿宋_GB2312" w:hAnsi="仿宋_GB2312" w:eastAsia="仿宋_GB2312" w:cs="仿宋_GB2312"/>
          <w:b/>
          <w:bCs/>
          <w:color w:val="auto"/>
          <w:sz w:val="32"/>
          <w:szCs w:val="32"/>
          <w:lang w:val="en-US" w:eastAsia="zh-CN"/>
        </w:rPr>
        <w:t>二是推进法治宣传经常化。</w:t>
      </w:r>
      <w:r>
        <w:rPr>
          <w:rFonts w:hint="eastAsia" w:ascii="仿宋_GB2312" w:hAnsi="仿宋_GB2312" w:eastAsia="仿宋_GB2312" w:cs="仿宋_GB2312"/>
          <w:color w:val="auto"/>
          <w:sz w:val="32"/>
          <w:szCs w:val="32"/>
          <w:lang w:val="en-US" w:eastAsia="zh-CN"/>
        </w:rPr>
        <w:t>通过多种方式广泛传播习近平法治思想，充分利用电子显示屏、横幅、宣传册以及微信公众号等渠道全面宣传法律法规，将习近平法治思想贯穿其中。同时，将铸牢中华民族共同体意识融入法治宣传教育体系，开展了一系列铸牢中华民族共同体意识“五个一”活动。通过活动，宣传了民族法律法规和政策，提升了各族群众的法律意识和民族团结意识。迄今为止，我乡已成功举办</w:t>
      </w:r>
      <w:r>
        <w:rPr>
          <w:rFonts w:hint="default" w:ascii="仿宋_GB2312" w:hAnsi="仿宋_GB2312" w:eastAsia="仿宋_GB2312" w:cs="仿宋_GB2312"/>
          <w:color w:val="auto"/>
          <w:sz w:val="32"/>
          <w:szCs w:val="32"/>
          <w:lang w:val="en-US" w:eastAsia="zh-CN"/>
        </w:rPr>
        <w:t>30</w:t>
      </w:r>
      <w:r>
        <w:rPr>
          <w:rFonts w:hint="eastAsia" w:ascii="仿宋_GB2312" w:hAnsi="仿宋_GB2312" w:eastAsia="仿宋_GB2312" w:cs="仿宋_GB2312"/>
          <w:color w:val="auto"/>
          <w:sz w:val="32"/>
          <w:szCs w:val="32"/>
          <w:lang w:val="en-US" w:eastAsia="zh-CN"/>
        </w:rPr>
        <w:t>次集中普法宣传活动，悬挂横幅及电子显示屏宣传40余条，发放宣传资料</w:t>
      </w:r>
      <w:r>
        <w:rPr>
          <w:rFonts w:hint="default" w:ascii="仿宋_GB2312" w:hAnsi="仿宋_GB2312" w:eastAsia="仿宋_GB2312" w:cs="仿宋_GB2312"/>
          <w:color w:val="auto"/>
          <w:sz w:val="32"/>
          <w:szCs w:val="32"/>
          <w:lang w:val="en-US" w:eastAsia="zh-CN"/>
        </w:rPr>
        <w:t>8000</w:t>
      </w:r>
      <w:r>
        <w:rPr>
          <w:rFonts w:hint="eastAsia" w:ascii="仿宋_GB2312" w:hAnsi="仿宋_GB2312" w:eastAsia="仿宋_GB2312" w:cs="仿宋_GB2312"/>
          <w:color w:val="auto"/>
          <w:sz w:val="32"/>
          <w:szCs w:val="32"/>
          <w:lang w:val="en-US" w:eastAsia="zh-CN"/>
        </w:rPr>
        <w:t>余份，</w:t>
      </w:r>
      <w:r>
        <w:rPr>
          <w:rFonts w:hint="default" w:ascii="Times New Roman" w:hAnsi="Times New Roman" w:eastAsia="仿宋_GB2312" w:cs="Times New Roman"/>
          <w:kern w:val="0"/>
          <w:sz w:val="32"/>
          <w:szCs w:val="32"/>
          <w:lang w:val="en-US" w:eastAsia="zh-CN" w:bidi="ar"/>
        </w:rPr>
        <w:t>为2</w:t>
      </w:r>
      <w:r>
        <w:rPr>
          <w:rFonts w:hint="eastAsia" w:ascii="Times New Roman" w:hAnsi="Times New Roman" w:eastAsia="仿宋_GB2312" w:cs="Times New Roman"/>
          <w:kern w:val="0"/>
          <w:sz w:val="32"/>
          <w:szCs w:val="32"/>
          <w:lang w:val="en-US" w:eastAsia="zh-CN" w:bidi="ar"/>
        </w:rPr>
        <w:t>8</w:t>
      </w:r>
      <w:r>
        <w:rPr>
          <w:rFonts w:hint="default" w:ascii="Times New Roman" w:hAnsi="Times New Roman" w:eastAsia="仿宋_GB2312" w:cs="Times New Roman"/>
          <w:kern w:val="0"/>
          <w:sz w:val="32"/>
          <w:szCs w:val="32"/>
          <w:lang w:val="en-US" w:eastAsia="zh-CN" w:bidi="ar"/>
        </w:rPr>
        <w:t>0余人次提供法律咨询服务</w:t>
      </w:r>
      <w:r>
        <w:rPr>
          <w:rFonts w:hint="eastAsia" w:ascii="仿宋_GB2312" w:hAnsi="仿宋_GB2312" w:eastAsia="仿宋_GB2312" w:cs="仿宋_GB2312"/>
          <w:color w:val="auto"/>
          <w:sz w:val="32"/>
          <w:szCs w:val="32"/>
          <w:lang w:val="en-US" w:eastAsia="zh-CN"/>
        </w:rPr>
        <w:t>。</w:t>
      </w:r>
    </w:p>
    <w:p w14:paraId="77196EFA">
      <w:pPr>
        <w:pStyle w:val="2"/>
        <w:keepNext w:val="0"/>
        <w:keepLines w:val="0"/>
        <w:pageBreakBefore w:val="0"/>
        <w:widowControl w:val="0"/>
        <w:numPr>
          <w:numId w:val="0"/>
        </w:numPr>
        <w:kinsoku/>
        <w:wordWrap/>
        <w:overflowPunct/>
        <w:topLinePunct w:val="0"/>
        <w:autoSpaceDE/>
        <w:autoSpaceDN/>
        <w:bidi w:val="0"/>
        <w:adjustRightInd/>
        <w:snapToGrid/>
        <w:spacing w:line="600" w:lineRule="exact"/>
        <w:ind w:right="0" w:rightChars="0" w:firstLine="643"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楷体" w:hAnsi="楷体" w:eastAsia="楷体" w:cs="楷体"/>
          <w:b/>
          <w:bCs/>
          <w:sz w:val="32"/>
          <w:szCs w:val="32"/>
          <w:lang w:val="en-US" w:eastAsia="zh-CN"/>
        </w:rPr>
        <w:t>（二）</w:t>
      </w:r>
      <w:r>
        <w:rPr>
          <w:rFonts w:hint="default" w:ascii="楷体_GB2312" w:hAnsi="楷体_GB2312" w:eastAsia="楷体_GB2312" w:cs="楷体_GB2312"/>
          <w:b/>
          <w:bCs/>
          <w:color w:val="auto"/>
          <w:spacing w:val="0"/>
          <w:w w:val="100"/>
          <w:position w:val="0"/>
          <w:sz w:val="34"/>
          <w:szCs w:val="34"/>
          <w:lang w:val="en-US" w:eastAsia="zh-CN"/>
        </w:rPr>
        <w:t>发挥法治引领，</w:t>
      </w:r>
      <w:r>
        <w:rPr>
          <w:rFonts w:hint="eastAsia" w:ascii="楷体_GB2312" w:hAnsi="楷体_GB2312" w:eastAsia="楷体_GB2312" w:cs="楷体_GB2312"/>
          <w:b/>
          <w:bCs/>
          <w:color w:val="auto"/>
          <w:spacing w:val="0"/>
          <w:w w:val="100"/>
          <w:position w:val="0"/>
          <w:sz w:val="34"/>
          <w:szCs w:val="34"/>
          <w:lang w:val="en-US" w:eastAsia="zh-CN"/>
        </w:rPr>
        <w:t>严格</w:t>
      </w:r>
      <w:r>
        <w:rPr>
          <w:rFonts w:hint="default" w:ascii="楷体_GB2312" w:hAnsi="楷体_GB2312" w:eastAsia="楷体_GB2312" w:cs="楷体_GB2312"/>
          <w:b/>
          <w:bCs/>
          <w:color w:val="auto"/>
          <w:spacing w:val="0"/>
          <w:w w:val="100"/>
          <w:position w:val="0"/>
          <w:sz w:val="34"/>
          <w:szCs w:val="34"/>
          <w:lang w:val="en-US" w:eastAsia="zh-CN"/>
        </w:rPr>
        <w:t>规范行政执法。</w:t>
      </w:r>
      <w:r>
        <w:rPr>
          <w:rFonts w:hint="eastAsia" w:ascii="仿宋_GB2312" w:hAnsi="仿宋_GB2312" w:eastAsia="仿宋_GB2312" w:cs="仿宋_GB2312"/>
          <w:b/>
          <w:bCs/>
          <w:color w:val="auto"/>
          <w:sz w:val="32"/>
          <w:szCs w:val="32"/>
          <w:lang w:val="en-US" w:eastAsia="zh-CN"/>
        </w:rPr>
        <w:t>一是落实行政执法三项制度。</w:t>
      </w:r>
      <w:r>
        <w:rPr>
          <w:rFonts w:hint="eastAsia" w:ascii="仿宋_GB2312" w:hAnsi="仿宋_GB2312" w:eastAsia="仿宋_GB2312" w:cs="仿宋_GB2312"/>
          <w:color w:val="auto"/>
          <w:sz w:val="32"/>
          <w:szCs w:val="32"/>
          <w:lang w:val="en-US" w:eastAsia="zh-CN"/>
        </w:rPr>
        <w:t>修改完善了本部门行政执法公示制度实施细则，公开《行政执法人员清单》，严格落实权责清单、行政执法责任制、行政裁量权基准等制度要求，公开行政执法职责、权限、依据、监督方式和救济渠道等信息以及服务指南、执法流程图，严格落实“双随机、一公开”制度。在执法过程中，主动出示合法有效执法证件，主动告知当事人法定权利和义务，行政执法决定按要求、按时限进行公开。同时，我乡已制定本部门行政执法全过程记录制度实施细则，制定执法规范用语和执法文书制作引导，行政执法决定书中明确行政裁量权基准适用情况。目前配备执法记录仪2台，对执法过程全记录。此外，</w:t>
      </w:r>
      <w:r>
        <w:rPr>
          <w:rFonts w:hint="eastAsia" w:ascii="仿宋_GB2312" w:hAnsi="仿宋_GB2312" w:eastAsia="仿宋_GB2312" w:cs="仿宋_GB2312"/>
          <w:b w:val="0"/>
          <w:bCs w:val="0"/>
          <w:color w:val="auto"/>
          <w:sz w:val="32"/>
          <w:szCs w:val="32"/>
        </w:rPr>
        <w:t>我</w:t>
      </w:r>
      <w:r>
        <w:rPr>
          <w:rFonts w:hint="eastAsia" w:ascii="仿宋_GB2312" w:hAnsi="仿宋_GB2312" w:eastAsia="仿宋_GB2312" w:cs="仿宋_GB2312"/>
          <w:b w:val="0"/>
          <w:bCs w:val="0"/>
          <w:color w:val="auto"/>
          <w:sz w:val="32"/>
          <w:szCs w:val="32"/>
          <w:lang w:eastAsia="zh-CN"/>
        </w:rPr>
        <w:t>乡</w:t>
      </w:r>
      <w:r>
        <w:rPr>
          <w:rFonts w:hint="eastAsia" w:ascii="仿宋_GB2312" w:hAnsi="仿宋_GB2312" w:eastAsia="仿宋_GB2312" w:cs="仿宋_GB2312"/>
          <w:b w:val="0"/>
          <w:bCs w:val="0"/>
          <w:color w:val="auto"/>
          <w:sz w:val="32"/>
          <w:szCs w:val="32"/>
        </w:rPr>
        <w:t>结合工作实际制定了《</w:t>
      </w:r>
      <w:r>
        <w:rPr>
          <w:rFonts w:hint="eastAsia" w:ascii="仿宋_GB2312" w:hAnsi="仿宋_GB2312" w:eastAsia="仿宋_GB2312" w:cs="仿宋_GB2312"/>
          <w:b w:val="0"/>
          <w:bCs w:val="0"/>
          <w:color w:val="auto"/>
          <w:sz w:val="32"/>
          <w:szCs w:val="32"/>
          <w:lang w:val="en-US" w:eastAsia="zh-CN"/>
        </w:rPr>
        <w:t>王乐井</w:t>
      </w:r>
      <w:r>
        <w:rPr>
          <w:rFonts w:hint="eastAsia" w:ascii="仿宋_GB2312" w:hAnsi="仿宋_GB2312" w:eastAsia="仿宋_GB2312" w:cs="仿宋_GB2312"/>
          <w:b w:val="0"/>
          <w:bCs w:val="0"/>
          <w:color w:val="auto"/>
          <w:sz w:val="32"/>
          <w:szCs w:val="32"/>
        </w:rPr>
        <w:t>重大行政执法决定法制审核办法》，将司法所法制审查员纳</w:t>
      </w:r>
      <w:r>
        <w:rPr>
          <w:rFonts w:hint="eastAsia" w:ascii="仿宋_GB2312" w:hAnsi="仿宋_GB2312" w:eastAsia="仿宋_GB2312" w:cs="仿宋_GB2312"/>
          <w:b w:val="0"/>
          <w:bCs w:val="0"/>
          <w:color w:val="auto"/>
          <w:sz w:val="32"/>
          <w:szCs w:val="32"/>
          <w:lang w:val="en-US" w:eastAsia="zh-CN"/>
        </w:rPr>
        <w:t>入</w:t>
      </w:r>
      <w:r>
        <w:rPr>
          <w:rFonts w:hint="eastAsia" w:ascii="仿宋_GB2312" w:hAnsi="仿宋_GB2312" w:eastAsia="仿宋_GB2312" w:cs="仿宋_GB2312"/>
          <w:b w:val="0"/>
          <w:bCs w:val="0"/>
          <w:color w:val="auto"/>
          <w:sz w:val="32"/>
          <w:szCs w:val="32"/>
        </w:rPr>
        <w:t>审查人员，聘任法律顾问</w:t>
      </w:r>
      <w:r>
        <w:rPr>
          <w:rFonts w:hint="eastAsia" w:ascii="仿宋_GB2312" w:hAnsi="仿宋_GB2312" w:eastAsia="仿宋_GB2312" w:cs="仿宋_GB2312"/>
          <w:b w:val="0"/>
          <w:bCs w:val="0"/>
          <w:color w:val="auto"/>
          <w:sz w:val="32"/>
          <w:szCs w:val="32"/>
          <w:lang w:val="en-US" w:eastAsia="zh-CN"/>
        </w:rPr>
        <w:t>1名</w:t>
      </w:r>
      <w:r>
        <w:rPr>
          <w:rFonts w:hint="eastAsia" w:ascii="仿宋_GB2312" w:hAnsi="仿宋_GB2312" w:eastAsia="仿宋_GB2312" w:cs="仿宋_GB2312"/>
          <w:b w:val="0"/>
          <w:bCs w:val="0"/>
          <w:color w:val="auto"/>
          <w:sz w:val="32"/>
          <w:szCs w:val="32"/>
        </w:rPr>
        <w:t>，在行政许可、处罚等执法方面经过合法性审核，强化了法制审核制度的落实，规范了执法行为，提高了执法质量，保障了行政执法决定的合法性、合理性，有力地促进了严格规范公正执法。</w:t>
      </w:r>
      <w:r>
        <w:rPr>
          <w:rFonts w:hint="eastAsia" w:ascii="仿宋_GB2312" w:hAnsi="仿宋_GB2312" w:eastAsia="仿宋_GB2312" w:cs="仿宋_GB2312"/>
          <w:b/>
          <w:bCs/>
          <w:color w:val="auto"/>
          <w:sz w:val="32"/>
          <w:szCs w:val="32"/>
          <w:lang w:val="en-US" w:eastAsia="zh-CN"/>
        </w:rPr>
        <w:t>二是行政执法事项目录清单动态调整。</w:t>
      </w:r>
      <w:r>
        <w:rPr>
          <w:rFonts w:hint="eastAsia" w:ascii="仿宋_GB2312" w:hAnsi="仿宋_GB2312" w:eastAsia="仿宋_GB2312" w:cs="仿宋_GB2312"/>
          <w:b w:val="0"/>
          <w:bCs w:val="0"/>
          <w:color w:val="auto"/>
          <w:sz w:val="32"/>
          <w:szCs w:val="32"/>
          <w:lang w:val="en-US" w:eastAsia="zh-CN"/>
        </w:rPr>
        <w:t>对县司法局编制的《盐池县乡镇（街道）行政执法事项清单（2024年版）》进行了仔细研读，根据我乡实际进行了动态调整。</w:t>
      </w:r>
      <w:r>
        <w:rPr>
          <w:rFonts w:hint="eastAsia" w:ascii="仿宋_GB2312" w:hAnsi="仿宋_GB2312" w:eastAsia="仿宋_GB2312" w:cs="仿宋_GB2312"/>
          <w:b/>
          <w:bCs/>
          <w:color w:val="auto"/>
          <w:sz w:val="32"/>
          <w:szCs w:val="32"/>
          <w:lang w:val="en-US" w:eastAsia="zh-CN"/>
        </w:rPr>
        <w:t>三是推动行政裁量权基准制度全面落实。</w:t>
      </w:r>
      <w:r>
        <w:rPr>
          <w:rFonts w:hint="eastAsia" w:ascii="仿宋_GB2312" w:hAnsi="仿宋_GB2312" w:eastAsia="仿宋_GB2312" w:cs="仿宋_GB2312"/>
          <w:b w:val="0"/>
          <w:bCs w:val="0"/>
          <w:color w:val="auto"/>
          <w:sz w:val="32"/>
          <w:szCs w:val="32"/>
          <w:lang w:val="en-US" w:eastAsia="zh-CN"/>
        </w:rPr>
        <w:t>行政裁量标准细化量化，裁量范围、种类、幅度规范，向社会公开。我乡执法人员在行使行政裁量权时，能做到公平公正合法。</w:t>
      </w:r>
      <w:r>
        <w:rPr>
          <w:rFonts w:hint="eastAsia" w:ascii="仿宋_GB2312" w:hAnsi="仿宋_GB2312" w:eastAsia="仿宋_GB2312" w:cs="仿宋_GB2312"/>
          <w:b/>
          <w:bCs/>
          <w:color w:val="auto"/>
          <w:sz w:val="32"/>
          <w:szCs w:val="32"/>
          <w:lang w:val="en-US" w:eastAsia="zh-CN"/>
        </w:rPr>
        <w:t>四是规范涉企领域执法检查。</w:t>
      </w:r>
      <w:r>
        <w:rPr>
          <w:rFonts w:hint="eastAsia" w:ascii="仿宋_GB2312" w:hAnsi="仿宋_GB2312" w:eastAsia="仿宋_GB2312" w:cs="仿宋_GB2312"/>
          <w:b w:val="0"/>
          <w:bCs w:val="0"/>
          <w:color w:val="auto"/>
          <w:sz w:val="32"/>
          <w:szCs w:val="32"/>
          <w:lang w:val="en-US" w:eastAsia="zh-CN"/>
        </w:rPr>
        <w:t>乡综合执法对照涉企行政执法专项监督发现的问题，举一反三开展自查自纠，严格落实“双随机、一公开”制度，将“双随机、一公开”作为市场监管的基本手段和方式，建立健全工作机制，推动检查结果执法部门互认互用，全年涉企检查3次处理0次。</w:t>
      </w:r>
      <w:r>
        <w:rPr>
          <w:rFonts w:hint="eastAsia" w:ascii="仿宋_GB2312" w:hAnsi="仿宋_GB2312" w:eastAsia="仿宋_GB2312" w:cs="仿宋_GB2312"/>
          <w:b/>
          <w:bCs/>
          <w:color w:val="auto"/>
          <w:sz w:val="32"/>
          <w:szCs w:val="32"/>
          <w:lang w:val="en-US" w:eastAsia="zh-CN"/>
        </w:rPr>
        <w:t>五是行政执法突出问题进行专项整治。</w:t>
      </w:r>
      <w:r>
        <w:rPr>
          <w:rFonts w:hint="eastAsia" w:ascii="仿宋_GB2312" w:hAnsi="仿宋_GB2312" w:eastAsia="仿宋_GB2312" w:cs="仿宋_GB2312"/>
          <w:b w:val="0"/>
          <w:bCs w:val="0"/>
          <w:color w:val="auto"/>
          <w:sz w:val="32"/>
          <w:szCs w:val="32"/>
          <w:lang w:val="en-US" w:eastAsia="zh-CN"/>
        </w:rPr>
        <w:t>我乡对</w:t>
      </w:r>
      <w:r>
        <w:rPr>
          <w:rFonts w:hint="eastAsia" w:ascii="仿宋_GB2312" w:hAnsi="仿宋_GB2312" w:eastAsia="仿宋_GB2312" w:cs="仿宋_GB2312"/>
          <w:b w:val="0"/>
          <w:bCs w:val="0"/>
          <w:color w:val="auto"/>
          <w:sz w:val="32"/>
          <w:szCs w:val="32"/>
        </w:rPr>
        <w:t>在实施行政处罚、行政许可、行政检查、行政强制、行政征收征用、行政给付、行政确认等行政执法行为过程中随意性执法、选择性执法，推诿扯皮、无故拖延，辅助人员滥执法、态度粗暴恶劣，涉企执法中破坏法治营商环境等侵害群众利益等突出问题进行专项整治</w:t>
      </w:r>
      <w:r>
        <w:rPr>
          <w:rFonts w:hint="eastAsia" w:ascii="仿宋_GB2312" w:hAnsi="仿宋_GB2312" w:eastAsia="仿宋_GB2312" w:cs="仿宋_GB2312"/>
          <w:b w:val="0"/>
          <w:bCs w:val="0"/>
          <w:color w:val="auto"/>
          <w:sz w:val="32"/>
          <w:szCs w:val="32"/>
          <w:lang w:val="en-US" w:eastAsia="zh-CN"/>
        </w:rPr>
        <w:t>，全年突出问题执法4次处理0次。</w:t>
      </w:r>
    </w:p>
    <w:p w14:paraId="22F8289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二、存在问题及下一步打算</w:t>
      </w:r>
    </w:p>
    <w:p w14:paraId="127C70A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（一）加大基层综合行政执法教育培训力度。</w:t>
      </w:r>
      <w:r>
        <w:rPr>
          <w:rFonts w:hint="eastAsia" w:ascii="仿宋_GB2312" w:hAnsi="仿宋_GB2312" w:eastAsia="仿宋_GB2312" w:cs="仿宋_GB2312"/>
          <w:sz w:val="32"/>
          <w:szCs w:val="32"/>
          <w:lang w:val="en-US" w:eastAsia="zh-CN"/>
        </w:rPr>
        <w:t>我乡存在专业执法力量薄弱、业务水平不够高的问题，将开展有针对性和指导性的业务培训，提高基层综合行政执法工作人员的业务能力和服务意识，更好地为群众提供优质高效的行政服务。实行因岗制宜，根据不同的岗位要求和职责，分类确定培训对象，设置不同的培训课程，为基层综合行政执法工作人员开展量身订制的业务培训。</w:t>
      </w:r>
    </w:p>
    <w:p w14:paraId="28F001F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（二）规范执法部门法制审核。</w:t>
      </w:r>
      <w:r>
        <w:rPr>
          <w:rFonts w:hint="eastAsia" w:ascii="仿宋_GB2312" w:hAnsi="仿宋_GB2312" w:eastAsia="仿宋_GB2312" w:cs="仿宋_GB2312"/>
          <w:sz w:val="32"/>
          <w:szCs w:val="32"/>
          <w:lang w:val="en-US" w:eastAsia="zh-CN"/>
        </w:rPr>
        <w:t>执法部门内部法制审核是行政执法的重要环节，也是确保行政执法行为合法的重要保障。要根据重大执法决定法制审核的要求，规范执法部门法制审核工作。一是加强审核主体建设，要配备和充实政治素质高、业务能力强、具有法律专业背景并与法制审核工作任务相适应的法制审核人员，建立定期培训制度，提高法制审核人员的法律素养和业务能力。二是规范法制审核内容。重点围绕执法主体是否适格、事实是否清楚、证据是否确凿、适用法律是否正确、程序是否合法、行政裁量权基准适用是否适当、法律文书制作是否规范等，依法开展法制审核工作。三是完善法制审核程序。通过编制重大行政执法决定法制审核工作流程，规范法制审核行为，并建立重大执法决定法制审核责任追究机制，对不严格执行重大执法决定法制审核制度的，依法依纪追究相关人员的责任。</w:t>
      </w:r>
    </w:p>
    <w:p w14:paraId="73E1E837">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（三）进一步加强落实“三项制度”。</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进一步加强领导、狠抓落实。加强对落实“三项制度”工作的组织领导、检查考核、跟踪问效和责任追究，进一步提高政府的公信力、执行力和优质服务能力。对贯彻执行不力、落实不力和违反规定的，将严格按照有关规定进行行政问责、责任追究和纪律处分。同时加强与相关执法部门的沟通协助，整合资源形成执法合力。</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持续加强依法行政监督，依法进行信息公开，让群众积极监督政府决策和各职能部门的执法行为，让依法行政始终保持在法治轨道。</w:t>
      </w:r>
    </w:p>
    <w:p w14:paraId="4D26370C">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val="en-US" w:eastAsia="zh-CN"/>
        </w:rPr>
      </w:pPr>
    </w:p>
    <w:p w14:paraId="365FAF17">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val="en-US" w:eastAsia="zh-CN"/>
        </w:rPr>
      </w:pPr>
    </w:p>
    <w:p w14:paraId="4E1DDFDE">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val="en-US" w:eastAsia="zh-CN"/>
        </w:rPr>
      </w:pPr>
    </w:p>
    <w:p w14:paraId="66F14D9D">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val="en-US" w:eastAsia="zh-CN"/>
        </w:rPr>
      </w:pPr>
    </w:p>
    <w:p w14:paraId="492E088D">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val="en-US" w:eastAsia="zh-CN"/>
        </w:rPr>
      </w:pPr>
    </w:p>
    <w:p w14:paraId="4F37B7D8">
      <w:pPr>
        <w:keepNext w:val="0"/>
        <w:keepLines w:val="0"/>
        <w:pageBreakBefore w:val="0"/>
        <w:widowControl w:val="0"/>
        <w:kinsoku/>
        <w:wordWrap/>
        <w:overflowPunct/>
        <w:topLinePunct w:val="0"/>
        <w:autoSpaceDE/>
        <w:autoSpaceDN/>
        <w:bidi w:val="0"/>
        <w:adjustRightInd/>
        <w:snapToGrid/>
        <w:spacing w:line="580" w:lineRule="exact"/>
        <w:ind w:firstLine="4160" w:firstLineChars="13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王乐井乡人民政府</w:t>
      </w:r>
    </w:p>
    <w:p w14:paraId="681CFEDC">
      <w:pPr>
        <w:keepNext w:val="0"/>
        <w:keepLines w:val="0"/>
        <w:pageBreakBefore w:val="0"/>
        <w:widowControl w:val="0"/>
        <w:kinsoku/>
        <w:wordWrap/>
        <w:overflowPunct/>
        <w:topLinePunct w:val="0"/>
        <w:autoSpaceDE/>
        <w:autoSpaceDN/>
        <w:bidi w:val="0"/>
        <w:adjustRightInd/>
        <w:snapToGrid/>
        <w:spacing w:line="580" w:lineRule="exact"/>
        <w:ind w:firstLine="4160" w:firstLineChars="13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2025年1月13日</w:t>
      </w:r>
    </w:p>
    <w:p w14:paraId="104DFA2B">
      <w:pPr>
        <w:pStyle w:val="2"/>
        <w:keepNext w:val="0"/>
        <w:keepLines w:val="0"/>
        <w:pageBreakBefore w:val="0"/>
        <w:widowControl w:val="0"/>
        <w:numPr>
          <w:numId w:val="0"/>
        </w:numPr>
        <w:kinsoku/>
        <w:wordWrap/>
        <w:overflowPunct/>
        <w:topLinePunct w:val="0"/>
        <w:autoSpaceDE/>
        <w:autoSpaceDN/>
        <w:bidi w:val="0"/>
        <w:adjustRightInd/>
        <w:snapToGrid/>
        <w:spacing w:line="600" w:lineRule="exact"/>
        <w:ind w:right="0" w:rightChars="0" w:firstLine="640" w:firstLineChars="200"/>
        <w:textAlignment w:val="auto"/>
        <w:rPr>
          <w:rFonts w:hint="eastAsia" w:ascii="仿宋_GB2312" w:hAnsi="仿宋_GB2312" w:eastAsia="仿宋_GB2312" w:cs="仿宋_GB2312"/>
          <w:color w:val="auto"/>
          <w:sz w:val="32"/>
          <w:szCs w:val="32"/>
          <w:lang w:val="en-US" w:eastAsia="zh-CN"/>
        </w:rPr>
      </w:pPr>
    </w:p>
    <w:p w14:paraId="2352F74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p>
    <w:p w14:paraId="0D521D3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0Y2MyM2I4MTc4MzZmMWU1OGZkYmExMjI3MDg0ZDcifQ=="/>
  </w:docVars>
  <w:rsids>
    <w:rsidRoot w:val="6A1A4DFB"/>
    <w:rsid w:val="6A1A4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sz w:val="5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Office_12.1.0.18166_F1E327BC-269C-435d-A152-05C5408002CA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2025-01-06T08:23:00Z</dcterms:created>
  <dc:creator>DELL</dc:creator>
  <cp:lastModifiedBy>DELL</cp:lastModifiedBy>
  <dcterms:modified xsi:type="dcterms:W3CDTF">2025-01-13T09:55:38Z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2052-12.1.0.18166</vt:lpwstr>
  </property>
  <property fmtid="{D5CDD505-2E9C-101B-9397-08002B2CF9AE}" pid="3" name="ICV">
    <vt:lpwstr>9E3D199D3CB347FC843BCE0A8F121906_11</vt:lpwstr>
  </property>
</Properties>
</file>