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605" w:lineRule="atLeast"/>
        <w:ind w:left="0" w:right="0"/>
        <w:jc w:val="center"/>
      </w:pPr>
      <w:r>
        <w:rPr>
          <w:rStyle w:val="6"/>
          <w:rFonts w:ascii="方正小标宋简体" w:hAnsi="方正小标宋简体" w:eastAsia="方正小标宋简体" w:cs="方正小标宋简体"/>
          <w:color w:val="00000A"/>
          <w:sz w:val="48"/>
          <w:szCs w:val="48"/>
          <w:shd w:val="clear" w:fill="FFFFFF"/>
        </w:rPr>
        <w:t>重大行政</w:t>
      </w:r>
      <w:r>
        <w:rPr>
          <w:rStyle w:val="6"/>
          <w:rFonts w:hint="eastAsia" w:ascii="方正小标宋简体" w:hAnsi="方正小标宋简体" w:eastAsia="方正小标宋简体" w:cs="方正小标宋简体"/>
          <w:color w:val="00000A"/>
          <w:sz w:val="48"/>
          <w:szCs w:val="48"/>
          <w:shd w:val="clear" w:fill="FFFFFF"/>
        </w:rPr>
        <w:t>执法决定法制审核目录清单</w:t>
      </w:r>
    </w:p>
    <w:tbl>
      <w:tblPr>
        <w:tblStyle w:val="4"/>
        <w:tblW w:w="14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311"/>
        <w:gridCol w:w="1144"/>
        <w:gridCol w:w="3137"/>
        <w:gridCol w:w="2114"/>
        <w:gridCol w:w="1995"/>
        <w:gridCol w:w="2302"/>
        <w:gridCol w:w="1432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7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ascii="仿宋_GB2312" w:hAnsi="宋体" w:eastAsia="仿宋_GB2312" w:cs="仿宋_GB2312"/>
                <w:color w:val="00000A"/>
                <w:sz w:val="27"/>
                <w:szCs w:val="27"/>
              </w:rPr>
              <w:t>序号</w:t>
            </w:r>
          </w:p>
        </w:tc>
        <w:tc>
          <w:tcPr>
            <w:tcW w:w="13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执法项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目类别</w:t>
            </w:r>
          </w:p>
        </w:tc>
        <w:tc>
          <w:tcPr>
            <w:tcW w:w="11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审核项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目名称</w:t>
            </w:r>
          </w:p>
        </w:tc>
        <w:tc>
          <w:tcPr>
            <w:tcW w:w="3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审核条件</w:t>
            </w:r>
          </w:p>
        </w:tc>
        <w:tc>
          <w:tcPr>
            <w:tcW w:w="21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审核依据</w:t>
            </w:r>
          </w:p>
        </w:tc>
        <w:tc>
          <w:tcPr>
            <w:tcW w:w="19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审核重点</w:t>
            </w:r>
          </w:p>
        </w:tc>
        <w:tc>
          <w:tcPr>
            <w:tcW w:w="23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提交材料</w:t>
            </w:r>
          </w:p>
        </w:tc>
        <w:tc>
          <w:tcPr>
            <w:tcW w:w="143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提交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部门</w:t>
            </w:r>
          </w:p>
        </w:tc>
        <w:tc>
          <w:tcPr>
            <w:tcW w:w="64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实施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eastAsia" w:ascii="仿宋_GB2312" w:hAnsi="宋体" w:eastAsia="仿宋_GB2312" w:cs="仿宋_GB2312"/>
                <w:color w:val="00000A"/>
                <w:sz w:val="27"/>
                <w:szCs w:val="27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行政许可</w:t>
            </w:r>
          </w:p>
        </w:tc>
        <w:tc>
          <w:tcPr>
            <w:tcW w:w="11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办理行政许可事项</w:t>
            </w:r>
          </w:p>
        </w:tc>
        <w:tc>
          <w:tcPr>
            <w:tcW w:w="3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法律、法规、规章规定实施行政许可应当听证的行政许可事项；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直接涉及申请人和他人之间重大利益关系的行政许可事项；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3.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上级行政机关明确的其他重大行政许可事项。</w:t>
            </w:r>
          </w:p>
        </w:tc>
        <w:tc>
          <w:tcPr>
            <w:tcW w:w="21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《中华人民共和国行政许可法》</w:t>
            </w:r>
          </w:p>
        </w:tc>
        <w:tc>
          <w:tcPr>
            <w:tcW w:w="19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申请材料是否齐全、是否符合法定形式。</w:t>
            </w:r>
          </w:p>
        </w:tc>
        <w:tc>
          <w:tcPr>
            <w:tcW w:w="23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left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相关证照复印件；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重大行政执法决定建议或者意见及其情况说明；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3.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相关证据材料。</w:t>
            </w:r>
          </w:p>
        </w:tc>
        <w:tc>
          <w:tcPr>
            <w:tcW w:w="143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盐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池县城市管理综合执法局市容监察中队、规划监察中队</w:t>
            </w:r>
          </w:p>
        </w:tc>
        <w:tc>
          <w:tcPr>
            <w:tcW w:w="64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行政处罚</w:t>
            </w:r>
          </w:p>
        </w:tc>
        <w:tc>
          <w:tcPr>
            <w:tcW w:w="11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适用一般程序行政处罚案件</w:t>
            </w:r>
          </w:p>
        </w:tc>
        <w:tc>
          <w:tcPr>
            <w:tcW w:w="313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情节复杂的案件；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对公民个人在经营性活动中的违法行为作出</w:t>
            </w:r>
            <w:r>
              <w:rPr>
                <w:rFonts w:hint="eastAsia" w:ascii="仿宋_GB2312" w:hAnsi="微软雅黑" w:eastAsia="仿宋_GB2312" w:cs="仿宋_GB2312"/>
                <w:b w:val="0"/>
                <w:sz w:val="24"/>
                <w:szCs w:val="24"/>
              </w:rPr>
              <w:t>5000</w:t>
            </w:r>
            <w:r>
              <w:rPr>
                <w:rFonts w:hint="eastAsia" w:ascii="仿宋_GB2312" w:hAnsi="宋体" w:eastAsia="仿宋_GB2312" w:cs="仿宋_GB2312"/>
                <w:b w:val="0"/>
                <w:sz w:val="24"/>
                <w:szCs w:val="24"/>
              </w:rPr>
              <w:t>元以上，对法人或者其他组织在经营性活动中的违法行为作出</w:t>
            </w:r>
            <w:r>
              <w:rPr>
                <w:rFonts w:hint="eastAsia" w:ascii="仿宋_GB2312" w:hAnsi="微软雅黑" w:eastAsia="仿宋_GB2312" w:cs="仿宋_GB2312"/>
                <w:b w:val="0"/>
                <w:sz w:val="24"/>
                <w:szCs w:val="24"/>
              </w:rPr>
              <w:t>50000</w:t>
            </w:r>
            <w:r>
              <w:rPr>
                <w:rFonts w:hint="eastAsia" w:ascii="仿宋_GB2312" w:hAnsi="宋体" w:eastAsia="仿宋_GB2312" w:cs="仿宋_GB2312"/>
                <w:b w:val="0"/>
                <w:sz w:val="24"/>
                <w:szCs w:val="24"/>
              </w:rPr>
              <w:t>元以上罚款；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对公民个人在非经营性活动中的违法行为作出</w:t>
            </w:r>
            <w:r>
              <w:rPr>
                <w:rFonts w:hint="eastAsia" w:ascii="仿宋_GB2312" w:hAnsi="微软雅黑" w:eastAsia="仿宋_GB2312" w:cs="仿宋_GB2312"/>
                <w:b w:val="0"/>
                <w:sz w:val="24"/>
                <w:szCs w:val="24"/>
              </w:rPr>
              <w:t>1000</w:t>
            </w:r>
            <w:r>
              <w:rPr>
                <w:rFonts w:hint="eastAsia" w:ascii="仿宋_GB2312" w:hAnsi="宋体" w:eastAsia="仿宋_GB2312" w:cs="仿宋_GB2312"/>
                <w:b w:val="0"/>
                <w:sz w:val="24"/>
                <w:szCs w:val="24"/>
              </w:rPr>
              <w:t>元以上，对法人或者其他组织在非经营性活动中的违法行为作出</w:t>
            </w:r>
            <w:r>
              <w:rPr>
                <w:rFonts w:hint="eastAsia" w:ascii="仿宋_GB2312" w:hAnsi="微软雅黑" w:eastAsia="仿宋_GB2312" w:cs="仿宋_GB2312"/>
                <w:b w:val="0"/>
                <w:sz w:val="24"/>
                <w:szCs w:val="24"/>
              </w:rPr>
              <w:t>10000</w:t>
            </w:r>
            <w:r>
              <w:rPr>
                <w:rFonts w:hint="eastAsia" w:ascii="仿宋_GB2312" w:hAnsi="宋体" w:eastAsia="仿宋_GB2312" w:cs="仿宋_GB2312"/>
                <w:b w:val="0"/>
                <w:sz w:val="24"/>
                <w:szCs w:val="24"/>
              </w:rPr>
              <w:t>元以上罚款的案件。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color w:val="00000A"/>
                <w:sz w:val="24"/>
                <w:szCs w:val="24"/>
              </w:rPr>
              <w:t>法律、法规、规章规定的其他重大行政处罚事项。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both"/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both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211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《中华人民共和国行政处罚法》</w:t>
            </w:r>
          </w:p>
        </w:tc>
        <w:tc>
          <w:tcPr>
            <w:tcW w:w="19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行政执法主体是否合法，执法人员是否具备相应的执法资格；行政执法程序是否合法、正当；案件事实是否清楚，证据是否合法充分；适用法律、法规、规章是否准确，裁量基准运用是否适当；执法是否超越执法机关法定权限；行政执法文书是否完备、规范；违法行为是否涉嫌犯罪、需要移送司法机关；法律、法规、规章规定的其他内容。</w:t>
            </w:r>
          </w:p>
        </w:tc>
        <w:tc>
          <w:tcPr>
            <w:tcW w:w="230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立案审批表；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当事人身份证件或营业执照；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3.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书证物证、询问笔录、现场笔录、视听资料、计算机数据、当事人陈述、勘验笔录、鉴定结论等；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案件调查终结报告；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重大行政执法决定建议或者意见及其情况说明；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经听证或者评估、检验的，还应当提交听证笔录或者评估、检验报告；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相关证据材料。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both"/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0" w:leftChars="0" w:right="0" w:rightChars="0"/>
              <w:jc w:val="both"/>
            </w:pPr>
          </w:p>
        </w:tc>
        <w:tc>
          <w:tcPr>
            <w:tcW w:w="143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  <w:lang w:val="en-US" w:eastAsia="zh-CN"/>
              </w:rPr>
              <w:t>盐池县城市管理综合执法局市容监察中队、规划监察中队、法制信访室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450" w:lineRule="atLeast"/>
              <w:ind w:left="0" w:firstLine="0"/>
              <w:jc w:val="both"/>
              <w:rPr>
                <w:color w:val="666666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olor w:val="00000A"/>
                <w:spacing w:val="0"/>
                <w:sz w:val="24"/>
                <w:szCs w:val="24"/>
                <w:shd w:val="clear" w:fill="FFFFFF"/>
              </w:rPr>
              <w:t>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0161"/>
    <w:rsid w:val="23170161"/>
    <w:rsid w:val="5B5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lt-btn-next"/>
    <w:basedOn w:val="5"/>
    <w:uiPriority w:val="0"/>
    <w:rPr>
      <w:bdr w:val="single" w:color="DFDFDF" w:sz="6" w:space="0"/>
    </w:rPr>
  </w:style>
  <w:style w:type="character" w:customStyle="1" w:styleId="10">
    <w:name w:val="lt-btn-prev"/>
    <w:basedOn w:val="5"/>
    <w:uiPriority w:val="0"/>
    <w:rPr>
      <w:bdr w:val="single" w:color="DFDFDF" w:sz="6" w:space="0"/>
    </w:rPr>
  </w:style>
  <w:style w:type="character" w:customStyle="1" w:styleId="11">
    <w:name w:val="cur1"/>
    <w:basedOn w:val="5"/>
    <w:qFormat/>
    <w:uiPriority w:val="0"/>
    <w:rPr>
      <w:color w:val="FFFFFF"/>
      <w:shd w:val="clear" w:fill="FF3300"/>
    </w:rPr>
  </w:style>
  <w:style w:type="character" w:customStyle="1" w:styleId="12">
    <w:name w:val="cur2"/>
    <w:basedOn w:val="5"/>
    <w:qFormat/>
    <w:uiPriority w:val="0"/>
    <w:rPr>
      <w:shd w:val="clear" w:fill="CF141B"/>
    </w:rPr>
  </w:style>
  <w:style w:type="character" w:customStyle="1" w:styleId="13">
    <w:name w:val="cur3"/>
    <w:basedOn w:val="5"/>
    <w:uiPriority w:val="0"/>
    <w:rPr>
      <w:shd w:val="clear" w:fill="F75A5C"/>
    </w:rPr>
  </w:style>
  <w:style w:type="character" w:customStyle="1" w:styleId="14">
    <w:name w:val="cur4"/>
    <w:basedOn w:val="5"/>
    <w:qFormat/>
    <w:uiPriority w:val="0"/>
    <w:rPr>
      <w:bdr w:val="single" w:color="FFFFFF" w:sz="6" w:space="0"/>
      <w:shd w:val="clear" w:fill="D20A0A"/>
    </w:rPr>
  </w:style>
  <w:style w:type="character" w:customStyle="1" w:styleId="15">
    <w:name w:val="cur5"/>
    <w:basedOn w:val="5"/>
    <w:uiPriority w:val="0"/>
  </w:style>
  <w:style w:type="character" w:customStyle="1" w:styleId="16">
    <w:name w:val="lt-ztbtn-prev"/>
    <w:basedOn w:val="5"/>
    <w:uiPriority w:val="0"/>
  </w:style>
  <w:style w:type="character" w:customStyle="1" w:styleId="17">
    <w:name w:val="lt-ztbtn-next"/>
    <w:basedOn w:val="5"/>
    <w:qFormat/>
    <w:uiPriority w:val="0"/>
  </w:style>
  <w:style w:type="paragraph" w:customStyle="1" w:styleId="18">
    <w:name w:val="source"/>
    <w:basedOn w:val="1"/>
    <w:qFormat/>
    <w:uiPriority w:val="0"/>
    <w:pPr>
      <w:spacing w:line="300" w:lineRule="atLeast"/>
      <w:jc w:val="center"/>
    </w:pPr>
    <w:rPr>
      <w:color w:val="666666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2020-07-29T03:40:00Z</dcterms:created>
  <dc:creator>Administrator</dc:creator>
  <cp:lastModifiedBy>娟子</cp:lastModifiedBy>
  <dcterms:modified xsi:type="dcterms:W3CDTF">2020-08-19T07:02:27Z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