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600" w:lineRule="exact"/>
        <w:jc w:val="both"/>
        <w:rPr>
          <w:rFonts w:ascii="黑体" w:hAnsi="黑体" w:eastAsia="黑体" w:cs="黑体"/>
          <w:color w:val="000000"/>
          <w:sz w:val="28"/>
          <w:szCs w:val="28"/>
        </w:rPr>
      </w:pPr>
      <w:r>
        <w:rPr>
          <w:rFonts w:hint="eastAsia" w:ascii="黑体" w:hAnsi="黑体" w:eastAsia="黑体" w:cs="黑体"/>
          <w:color w:val="000000"/>
          <w:sz w:val="28"/>
          <w:szCs w:val="28"/>
        </w:rPr>
        <w:t>附件</w:t>
      </w:r>
    </w:p>
    <w:p>
      <w:pPr>
        <w:jc w:val="center"/>
        <w:rPr>
          <w:rFonts w:ascii="方正小标宋简体" w:hAnsi="方正小标宋简体" w:eastAsia="方正小标宋简体" w:cs="方正小标宋简体"/>
          <w:spacing w:val="-6"/>
          <w:sz w:val="44"/>
          <w:szCs w:val="44"/>
        </w:rPr>
      </w:pPr>
      <w:bookmarkStart w:id="0" w:name="_GoBack"/>
      <w:r>
        <w:rPr>
          <w:rFonts w:hint="eastAsia" w:ascii="方正小标宋简体" w:hAnsi="方正小标宋简体" w:eastAsia="方正小标宋简体" w:cs="方正小标宋简体"/>
          <w:sz w:val="44"/>
          <w:szCs w:val="44"/>
        </w:rPr>
        <w:t>2021年度</w:t>
      </w:r>
      <w:r>
        <w:rPr>
          <w:rFonts w:hint="eastAsia" w:ascii="方正小标宋简体" w:hAnsi="方正小标宋简体" w:eastAsia="方正小标宋简体" w:cs="方正小标宋简体"/>
          <w:sz w:val="44"/>
          <w:szCs w:val="44"/>
          <w:lang w:eastAsia="zh-CN"/>
        </w:rPr>
        <w:t>王乐井乡</w:t>
      </w:r>
      <w:r>
        <w:rPr>
          <w:rFonts w:hint="eastAsia" w:ascii="方正小标宋简体" w:hAnsi="方正小标宋简体" w:eastAsia="方正小标宋简体" w:cs="方正小标宋简体"/>
          <w:sz w:val="44"/>
          <w:szCs w:val="44"/>
        </w:rPr>
        <w:t>实行告知承诺制证明事项目录</w:t>
      </w:r>
    </w:p>
    <w:bookmarkEnd w:id="0"/>
    <w:tbl>
      <w:tblPr>
        <w:tblStyle w:val="9"/>
        <w:tblW w:w="14387" w:type="dxa"/>
        <w:tblInd w:w="96" w:type="dxa"/>
        <w:tblLayout w:type="fixed"/>
        <w:tblCellMar>
          <w:top w:w="0" w:type="dxa"/>
          <w:left w:w="108" w:type="dxa"/>
          <w:bottom w:w="0" w:type="dxa"/>
          <w:right w:w="108" w:type="dxa"/>
        </w:tblCellMar>
      </w:tblPr>
      <w:tblGrid>
        <w:gridCol w:w="482"/>
        <w:gridCol w:w="480"/>
        <w:gridCol w:w="1230"/>
        <w:gridCol w:w="1695"/>
        <w:gridCol w:w="5475"/>
        <w:gridCol w:w="975"/>
        <w:gridCol w:w="990"/>
        <w:gridCol w:w="705"/>
        <w:gridCol w:w="735"/>
        <w:gridCol w:w="510"/>
        <w:gridCol w:w="1110"/>
      </w:tblGrid>
      <w:tr>
        <w:tblPrEx>
          <w:tblCellMar>
            <w:top w:w="0" w:type="dxa"/>
            <w:left w:w="108" w:type="dxa"/>
            <w:bottom w:w="0" w:type="dxa"/>
            <w:right w:w="108" w:type="dxa"/>
          </w:tblCellMar>
        </w:tblPrEx>
        <w:trPr>
          <w:trHeight w:val="706" w:hRule="atLeast"/>
        </w:trPr>
        <w:tc>
          <w:tcPr>
            <w:tcW w:w="48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48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填报单位</w:t>
            </w:r>
          </w:p>
        </w:tc>
        <w:tc>
          <w:tcPr>
            <w:tcW w:w="123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政务服务事项名称</w:t>
            </w:r>
          </w:p>
        </w:tc>
        <w:tc>
          <w:tcPr>
            <w:tcW w:w="169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证明事项名称</w:t>
            </w:r>
          </w:p>
        </w:tc>
        <w:tc>
          <w:tcPr>
            <w:tcW w:w="54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设定依据</w:t>
            </w:r>
          </w:p>
        </w:tc>
        <w:tc>
          <w:tcPr>
            <w:tcW w:w="9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承办单位</w:t>
            </w:r>
          </w:p>
        </w:tc>
        <w:tc>
          <w:tcPr>
            <w:tcW w:w="99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证明出具单位（人）</w:t>
            </w:r>
          </w:p>
        </w:tc>
        <w:tc>
          <w:tcPr>
            <w:tcW w:w="70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是否实行告知承诺制</w:t>
            </w:r>
          </w:p>
        </w:tc>
        <w:tc>
          <w:tcPr>
            <w:tcW w:w="1245"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具体改革措施</w:t>
            </w:r>
          </w:p>
        </w:tc>
        <w:tc>
          <w:tcPr>
            <w:tcW w:w="11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tblPrEx>
          <w:tblCellMar>
            <w:top w:w="0" w:type="dxa"/>
            <w:left w:w="108" w:type="dxa"/>
            <w:bottom w:w="0" w:type="dxa"/>
            <w:right w:w="108" w:type="dxa"/>
          </w:tblCellMar>
        </w:tblPrEx>
        <w:trPr>
          <w:trHeight w:val="1549" w:hRule="atLeast"/>
        </w:trPr>
        <w:tc>
          <w:tcPr>
            <w:tcW w:w="48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4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12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169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547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9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70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color w:val="000000"/>
                <w:sz w:val="24"/>
              </w:rPr>
            </w:pPr>
          </w:p>
        </w:tc>
        <w:tc>
          <w:tcPr>
            <w:tcW w:w="735"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可选择告知承诺制</w:t>
            </w:r>
          </w:p>
        </w:tc>
        <w:tc>
          <w:tcPr>
            <w:tcW w:w="51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必须提供</w:t>
            </w:r>
          </w:p>
        </w:tc>
        <w:tc>
          <w:tcPr>
            <w:tcW w:w="111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821" w:hRule="atLeast"/>
        </w:trPr>
        <w:tc>
          <w:tcPr>
            <w:tcW w:w="482"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4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县人力资源和社会保障局</w:t>
            </w:r>
          </w:p>
        </w:tc>
        <w:tc>
          <w:tcPr>
            <w:tcW w:w="123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供养亲属抚恤金申领（工伤保险服务）</w:t>
            </w:r>
          </w:p>
        </w:tc>
        <w:tc>
          <w:tcPr>
            <w:tcW w:w="169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依靠工亡职工生前提供主要生活来源的证明</w:t>
            </w:r>
          </w:p>
        </w:tc>
        <w:tc>
          <w:tcPr>
            <w:tcW w:w="5475" w:type="dxa"/>
            <w:tcBorders>
              <w:top w:val="single" w:color="000000" w:sz="8" w:space="0"/>
              <w:left w:val="single" w:color="000000" w:sz="8" w:space="0"/>
              <w:bottom w:val="single" w:color="000000" w:sz="8" w:space="0"/>
              <w:right w:val="single" w:color="000000" w:sz="8" w:space="0"/>
            </w:tcBorders>
            <w:vAlign w:val="center"/>
          </w:tcPr>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《人力资源社会保障关于印发工伤保险经办规程的通知》（人社部发〔2012〕11号）</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第五章第五节</w:t>
            </w:r>
          </w:p>
          <w:p>
            <w:pPr>
              <w:widowControl/>
              <w:ind w:firstLine="440" w:firstLineChars="200"/>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第七十条  申请领取供养亲属抚恤金的，应提供以下资料：（一）居民身份证原件及复印件；（二）与工亡职工关系证明；</w:t>
            </w:r>
            <w:r>
              <w:rPr>
                <w:rFonts w:hint="eastAsia" w:ascii="仿宋_GB2312" w:hAnsi="宋体" w:eastAsia="仿宋_GB2312" w:cs="仿宋_GB2312"/>
                <w:b/>
                <w:bCs/>
                <w:color w:val="000000"/>
                <w:kern w:val="0"/>
                <w:sz w:val="22"/>
                <w:szCs w:val="22"/>
                <w:lang w:bidi="ar"/>
              </w:rPr>
              <w:t>（三）依靠工亡职工生前提供主要生活来源的证明；</w:t>
            </w:r>
            <w:r>
              <w:rPr>
                <w:rFonts w:hint="eastAsia" w:ascii="仿宋_GB2312" w:hAnsi="宋体" w:eastAsia="仿宋_GB2312" w:cs="仿宋_GB2312"/>
                <w:color w:val="000000"/>
                <w:kern w:val="0"/>
                <w:sz w:val="22"/>
                <w:szCs w:val="22"/>
                <w:lang w:bidi="ar"/>
              </w:rPr>
              <w:t>（四）完全丧失劳动能力的提供劳动能力鉴定结论书；（五）孤儿、孤寡老人提供民政部门相关证明；（六）在校 学生提供学校就读证明；（七）省、自治区、直辖市经办机构规定的其他证件和资料。</w:t>
            </w:r>
          </w:p>
        </w:tc>
        <w:tc>
          <w:tcPr>
            <w:tcW w:w="97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县人力资源和社会保障局（社保中心）</w:t>
            </w:r>
          </w:p>
        </w:tc>
        <w:tc>
          <w:tcPr>
            <w:tcW w:w="99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村（居）委会、社区、民政部门等</w:t>
            </w:r>
          </w:p>
        </w:tc>
        <w:tc>
          <w:tcPr>
            <w:tcW w:w="70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是</w:t>
            </w:r>
          </w:p>
        </w:tc>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选择</w:t>
            </w:r>
          </w:p>
        </w:tc>
        <w:tc>
          <w:tcPr>
            <w:tcW w:w="51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4078" w:hRule="atLeast"/>
        </w:trPr>
        <w:tc>
          <w:tcPr>
            <w:tcW w:w="482"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val="en-US" w:eastAsia="zh-CN" w:bidi="ar"/>
              </w:rPr>
              <w:t>2</w:t>
            </w:r>
          </w:p>
        </w:tc>
        <w:tc>
          <w:tcPr>
            <w:tcW w:w="480"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县人力资源和社会保障局</w:t>
            </w:r>
          </w:p>
        </w:tc>
        <w:tc>
          <w:tcPr>
            <w:tcW w:w="1230" w:type="dxa"/>
            <w:tcBorders>
              <w:top w:val="single" w:color="auto" w:sz="4" w:space="0"/>
              <w:left w:val="single" w:color="000000" w:sz="8" w:space="0"/>
              <w:bottom w:val="single" w:color="000000" w:sz="8" w:space="0"/>
              <w:right w:val="single" w:color="000000" w:sz="8" w:space="0"/>
            </w:tcBorders>
            <w:vAlign w:val="center"/>
          </w:tcPr>
          <w:p>
            <w:pPr>
              <w:widowControl/>
              <w:tabs>
                <w:tab w:val="left" w:pos="465"/>
              </w:tabs>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城乡居民基本养老保险关系转移接续申请（养老保险服务）</w:t>
            </w:r>
          </w:p>
        </w:tc>
        <w:tc>
          <w:tcPr>
            <w:tcW w:w="169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户籍关系转移证明</w:t>
            </w:r>
          </w:p>
        </w:tc>
        <w:tc>
          <w:tcPr>
            <w:tcW w:w="5475" w:type="dxa"/>
            <w:tcBorders>
              <w:top w:val="single" w:color="auto" w:sz="4" w:space="0"/>
              <w:left w:val="single" w:color="000000" w:sz="8" w:space="0"/>
              <w:bottom w:val="single" w:color="000000" w:sz="8" w:space="0"/>
              <w:right w:val="single" w:color="000000" w:sz="8" w:space="0"/>
            </w:tcBorders>
            <w:vAlign w:val="center"/>
          </w:tcPr>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 xml:space="preserve">《人力资源社会保障部关于印发城乡居民基本养老保险经办规程的通知》（人社部发〔2014〕23号 ）  </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第七章</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第四十条  参保人员须持</w:t>
            </w:r>
            <w:r>
              <w:rPr>
                <w:rFonts w:hint="eastAsia" w:ascii="仿宋_GB2312" w:hAnsi="宋体" w:eastAsia="仿宋_GB2312" w:cs="仿宋_GB2312"/>
                <w:b/>
                <w:bCs/>
                <w:color w:val="000000"/>
                <w:kern w:val="0"/>
                <w:sz w:val="22"/>
                <w:szCs w:val="22"/>
                <w:lang w:bidi="ar"/>
              </w:rPr>
              <w:t>户籍关系转移证明</w:t>
            </w:r>
            <w:r>
              <w:rPr>
                <w:rFonts w:hint="eastAsia" w:ascii="仿宋_GB2312" w:hAnsi="宋体" w:eastAsia="仿宋_GB2312" w:cs="仿宋_GB2312"/>
                <w:color w:val="000000"/>
                <w:kern w:val="0"/>
                <w:sz w:val="22"/>
                <w:szCs w:val="22"/>
                <w:lang w:bidi="ar"/>
              </w:rPr>
              <w:t>以及居民身份证、户口簿原件和复印件等材料，到转入地村（居）委会提出申请，填写《参保表》和《城乡居民基本养老保险关系转入申请表》</w:t>
            </w:r>
          </w:p>
        </w:tc>
        <w:tc>
          <w:tcPr>
            <w:tcW w:w="97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县人力资源和社会保障局（社保中心）</w:t>
            </w:r>
          </w:p>
        </w:tc>
        <w:tc>
          <w:tcPr>
            <w:tcW w:w="990"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申请人所在地公安机关、派出所等</w:t>
            </w:r>
          </w:p>
        </w:tc>
        <w:tc>
          <w:tcPr>
            <w:tcW w:w="70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是</w:t>
            </w:r>
          </w:p>
        </w:tc>
        <w:tc>
          <w:tcPr>
            <w:tcW w:w="73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选择</w:t>
            </w:r>
          </w:p>
        </w:tc>
        <w:tc>
          <w:tcPr>
            <w:tcW w:w="510" w:type="dxa"/>
            <w:tcBorders>
              <w:top w:val="single" w:color="auto" w:sz="4"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tcBorders>
              <w:top w:val="single" w:color="auto" w:sz="4"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4431" w:hRule="atLeast"/>
        </w:trPr>
        <w:tc>
          <w:tcPr>
            <w:tcW w:w="482"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val="en-US" w:eastAsia="zh-CN" w:bidi="ar"/>
              </w:rPr>
              <w:t>3</w:t>
            </w:r>
          </w:p>
        </w:tc>
        <w:tc>
          <w:tcPr>
            <w:tcW w:w="4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县人力资源和社会保障局</w:t>
            </w:r>
          </w:p>
        </w:tc>
        <w:tc>
          <w:tcPr>
            <w:tcW w:w="123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遗属待遇申领（养老保险服务）</w:t>
            </w:r>
          </w:p>
        </w:tc>
        <w:tc>
          <w:tcPr>
            <w:tcW w:w="169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离退休人员死亡证明</w:t>
            </w:r>
          </w:p>
        </w:tc>
        <w:tc>
          <w:tcPr>
            <w:tcW w:w="5475" w:type="dxa"/>
            <w:tcBorders>
              <w:top w:val="single" w:color="000000" w:sz="8" w:space="0"/>
              <w:left w:val="single" w:color="000000" w:sz="8" w:space="0"/>
              <w:bottom w:val="single" w:color="000000" w:sz="8" w:space="0"/>
              <w:right w:val="single" w:color="000000" w:sz="8" w:space="0"/>
            </w:tcBorders>
            <w:vAlign w:val="center"/>
          </w:tcPr>
          <w:p>
            <w:pPr>
              <w:widowControl/>
              <w:ind w:firstLine="44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《劳动保障部社保中心关于印发基本养老保险经办业务规程（试行）的通知》（劳社险中心函〔2003〕38号）</w:t>
            </w:r>
          </w:p>
          <w:p>
            <w:pPr>
              <w:widowControl/>
              <w:ind w:firstLine="440"/>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第五章第四节第六十六条  离退休（职）人员死亡后，其遗属申请领取丧葬补助费、抚恤费和供养直系亲属生活补助费时，待遇审核环节要求其填写《供养直系亲属待遇核定表》，并提供以下证件和资料：</w:t>
            </w:r>
            <w:r>
              <w:rPr>
                <w:rFonts w:hint="eastAsia" w:ascii="仿宋_GB2312" w:hAnsi="宋体" w:eastAsia="仿宋_GB2312" w:cs="仿宋_GB2312"/>
                <w:b/>
                <w:bCs/>
                <w:color w:val="000000"/>
                <w:kern w:val="0"/>
                <w:sz w:val="22"/>
                <w:szCs w:val="22"/>
                <w:lang w:bidi="ar"/>
              </w:rPr>
              <w:t>（一）离退休人员死亡证明；</w:t>
            </w:r>
            <w:r>
              <w:rPr>
                <w:rFonts w:hint="eastAsia" w:ascii="仿宋_GB2312" w:hAnsi="宋体" w:eastAsia="仿宋_GB2312" w:cs="仿宋_GB2312"/>
                <w:color w:val="000000"/>
                <w:kern w:val="0"/>
                <w:sz w:val="22"/>
                <w:szCs w:val="22"/>
                <w:lang w:bidi="ar"/>
              </w:rPr>
              <w:t>（二）供养直系亲属身份证件及与死者关系证明；（三）供养直系亲属经济收入情况；（四）省、自治区、直辖市社保机构规定的其他证件和资料。</w:t>
            </w:r>
          </w:p>
        </w:tc>
        <w:tc>
          <w:tcPr>
            <w:tcW w:w="97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县人力资源和社会保障局（社保中心）</w:t>
            </w:r>
          </w:p>
        </w:tc>
        <w:tc>
          <w:tcPr>
            <w:tcW w:w="99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医院、公安机关、村（居）委会、社区、民政部门等</w:t>
            </w:r>
          </w:p>
        </w:tc>
        <w:tc>
          <w:tcPr>
            <w:tcW w:w="70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是</w:t>
            </w:r>
          </w:p>
        </w:tc>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选择</w:t>
            </w:r>
          </w:p>
        </w:tc>
        <w:tc>
          <w:tcPr>
            <w:tcW w:w="51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2880" w:hRule="atLeast"/>
        </w:trPr>
        <w:tc>
          <w:tcPr>
            <w:tcW w:w="48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val="en-US" w:eastAsia="zh-CN" w:bidi="ar"/>
              </w:rPr>
              <w:t>4</w:t>
            </w:r>
          </w:p>
        </w:tc>
        <w:tc>
          <w:tcPr>
            <w:tcW w:w="48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县人力资源和社会保障局</w:t>
            </w:r>
          </w:p>
        </w:tc>
        <w:tc>
          <w:tcPr>
            <w:tcW w:w="123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个人账户一次性待遇申领（养老保险服务）</w:t>
            </w:r>
          </w:p>
        </w:tc>
        <w:tc>
          <w:tcPr>
            <w:tcW w:w="169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死亡证明</w:t>
            </w:r>
          </w:p>
        </w:tc>
        <w:tc>
          <w:tcPr>
            <w:tcW w:w="5475" w:type="dxa"/>
            <w:vMerge w:val="restart"/>
            <w:tcBorders>
              <w:top w:val="single" w:color="000000" w:sz="8" w:space="0"/>
              <w:left w:val="single" w:color="000000" w:sz="8" w:space="0"/>
              <w:bottom w:val="single" w:color="000000" w:sz="8" w:space="0"/>
              <w:right w:val="single" w:color="000000" w:sz="8" w:space="0"/>
            </w:tcBorders>
            <w:vAlign w:val="center"/>
          </w:tcPr>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《劳动保障部社保中心关于印发基本养老保险经办业务规程（试行）的通知》（劳社险中心函〔2003〕38号）</w:t>
            </w:r>
          </w:p>
          <w:p>
            <w:pPr>
              <w:widowControl/>
              <w:ind w:firstLine="440" w:firstLineChars="200"/>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第五章第三节第六十三条  待遇审核环节受理申领人提出申领一次性待遇申请时，要求其提供以下证明和资料：（一）身份证件；（二）出国（境）定居的，提供出国（境）证明及户口注销证明；（三）死亡的，提供医院或派出所等部门开具的</w:t>
            </w:r>
            <w:r>
              <w:rPr>
                <w:rFonts w:hint="eastAsia" w:ascii="仿宋_GB2312" w:hAnsi="宋体" w:eastAsia="仿宋_GB2312" w:cs="仿宋_GB2312"/>
                <w:b/>
                <w:bCs/>
                <w:color w:val="000000"/>
                <w:kern w:val="0"/>
                <w:sz w:val="22"/>
                <w:szCs w:val="22"/>
                <w:lang w:bidi="ar"/>
              </w:rPr>
              <w:t>死亡证明</w:t>
            </w:r>
            <w:r>
              <w:rPr>
                <w:rFonts w:hint="eastAsia" w:ascii="仿宋_GB2312" w:hAnsi="宋体" w:eastAsia="仿宋_GB2312" w:cs="仿宋_GB2312"/>
                <w:color w:val="000000"/>
                <w:kern w:val="0"/>
                <w:sz w:val="22"/>
                <w:szCs w:val="22"/>
                <w:lang w:bidi="ar"/>
              </w:rPr>
              <w:t>；（四）省、自治区、直辖市社保机构规定的其他证明和资料。</w:t>
            </w:r>
          </w:p>
        </w:tc>
        <w:tc>
          <w:tcPr>
            <w:tcW w:w="9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县人力资源和社会保障局（社保中心）</w:t>
            </w:r>
          </w:p>
        </w:tc>
        <w:tc>
          <w:tcPr>
            <w:tcW w:w="99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医院或者公安派出所等部门</w:t>
            </w:r>
          </w:p>
        </w:tc>
        <w:tc>
          <w:tcPr>
            <w:tcW w:w="70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是</w:t>
            </w:r>
          </w:p>
        </w:tc>
        <w:tc>
          <w:tcPr>
            <w:tcW w:w="73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选择</w:t>
            </w:r>
          </w:p>
        </w:tc>
        <w:tc>
          <w:tcPr>
            <w:tcW w:w="51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vMerge w:val="restart"/>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5924" w:hRule="atLeast"/>
        </w:trPr>
        <w:tc>
          <w:tcPr>
            <w:tcW w:w="48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4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2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69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p>
        </w:tc>
        <w:tc>
          <w:tcPr>
            <w:tcW w:w="547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p>
        </w:tc>
        <w:tc>
          <w:tcPr>
            <w:tcW w:w="97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9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70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73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51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913" w:hRule="atLeast"/>
        </w:trPr>
        <w:tc>
          <w:tcPr>
            <w:tcW w:w="482"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val="en-US" w:eastAsia="zh-CN" w:bidi="ar"/>
              </w:rPr>
              <w:t>5</w:t>
            </w:r>
          </w:p>
        </w:tc>
        <w:tc>
          <w:tcPr>
            <w:tcW w:w="480"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县人力资源和社会保障局</w:t>
            </w:r>
          </w:p>
        </w:tc>
        <w:tc>
          <w:tcPr>
            <w:tcW w:w="1230"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居民养老保险注销登记（养老保险服务）</w:t>
            </w:r>
          </w:p>
        </w:tc>
        <w:tc>
          <w:tcPr>
            <w:tcW w:w="1695" w:type="dxa"/>
            <w:tcBorders>
              <w:top w:val="single" w:color="000000" w:sz="8" w:space="0"/>
              <w:left w:val="single" w:color="000000" w:sz="8" w:space="0"/>
              <w:bottom w:val="single" w:color="auto" w:sz="4" w:space="0"/>
              <w:right w:val="single" w:color="000000" w:sz="8"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医院出具的参保人死亡证明，或民政部门出具的火化证明，或公安部门出具的户籍注销证明。</w:t>
            </w:r>
          </w:p>
        </w:tc>
        <w:tc>
          <w:tcPr>
            <w:tcW w:w="5475" w:type="dxa"/>
            <w:tcBorders>
              <w:top w:val="single" w:color="000000" w:sz="8" w:space="0"/>
              <w:left w:val="single" w:color="000000" w:sz="8" w:space="0"/>
              <w:bottom w:val="single" w:color="auto" w:sz="4" w:space="0"/>
              <w:right w:val="single" w:color="000000" w:sz="8" w:space="0"/>
            </w:tcBorders>
            <w:vAlign w:val="center"/>
          </w:tcPr>
          <w:p>
            <w:pPr>
              <w:widowControl/>
              <w:ind w:firstLine="44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《人力资源社会保障部关于印发城乡居民基本养老保险经办规程的通知》（人社部发〔2014〕23号）</w:t>
            </w:r>
          </w:p>
          <w:p>
            <w:pPr>
              <w:widowControl/>
              <w:ind w:firstLine="440"/>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第六章第三十五条  参保人员死亡的，村(居)协办员应通知其指定受益人或法定继承人在其死亡后及时办理注销登记手续。其指定受益人或法定继承人应在规定时限内到村(居)委会提出注销登记申请，填写《城乡居民基本养老保险注销登记表》(以下简称《注销表》)，并提供以下材料： (一)</w:t>
            </w:r>
            <w:r>
              <w:rPr>
                <w:rFonts w:hint="eastAsia" w:ascii="仿宋_GB2312" w:hAnsi="宋体" w:eastAsia="仿宋_GB2312" w:cs="仿宋_GB2312"/>
                <w:b/>
                <w:bCs/>
                <w:color w:val="000000"/>
                <w:kern w:val="0"/>
                <w:sz w:val="22"/>
                <w:szCs w:val="22"/>
                <w:lang w:bidi="ar"/>
              </w:rPr>
              <w:t>医院出具的参保人员死亡证明，或民政部门出具的火化证明</w:t>
            </w:r>
            <w:r>
              <w:rPr>
                <w:rFonts w:hint="eastAsia" w:ascii="仿宋_GB2312" w:hAnsi="宋体" w:eastAsia="仿宋_GB2312" w:cs="仿宋_GB2312"/>
                <w:color w:val="000000"/>
                <w:kern w:val="0"/>
                <w:sz w:val="22"/>
                <w:szCs w:val="22"/>
                <w:lang w:bidi="ar"/>
              </w:rPr>
              <w:t>(非火化区除外)，或</w:t>
            </w:r>
            <w:r>
              <w:rPr>
                <w:rFonts w:hint="eastAsia" w:ascii="仿宋_GB2312" w:hAnsi="宋体" w:eastAsia="仿宋_GB2312" w:cs="仿宋_GB2312"/>
                <w:b/>
                <w:bCs/>
                <w:color w:val="000000"/>
                <w:kern w:val="0"/>
                <w:sz w:val="22"/>
                <w:szCs w:val="22"/>
                <w:lang w:bidi="ar"/>
              </w:rPr>
              <w:t>公安部门出具的户籍注销证明</w:t>
            </w:r>
            <w:r>
              <w:rPr>
                <w:rFonts w:hint="eastAsia" w:ascii="仿宋_GB2312" w:hAnsi="宋体" w:eastAsia="仿宋_GB2312" w:cs="仿宋_GB2312"/>
                <w:color w:val="000000"/>
                <w:kern w:val="0"/>
                <w:sz w:val="22"/>
                <w:szCs w:val="22"/>
                <w:lang w:bidi="ar"/>
              </w:rPr>
              <w:t xml:space="preserve">;人员失踪宣告死亡的，应提供司法部门出具的宣告死亡证明; (二)指定受益人或法定继承人的户口簿、居民身份证原件和复印件，能够确定其继承权的法律文书、公证文书或公安机关及乡镇(街道)、村(居)委会等部门出具的有关证明材料等; (三)参保人员个人账户余额无法通过原银行账户支取的，指定受益人或法定继承人还需提供指定金融机构的其他账户信息。 </w:t>
            </w:r>
          </w:p>
        </w:tc>
        <w:tc>
          <w:tcPr>
            <w:tcW w:w="975"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县人力资源和社会保障局（社保中心）</w:t>
            </w:r>
          </w:p>
        </w:tc>
        <w:tc>
          <w:tcPr>
            <w:tcW w:w="990"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医院、民政部门、公安机关等</w:t>
            </w:r>
          </w:p>
        </w:tc>
        <w:tc>
          <w:tcPr>
            <w:tcW w:w="705"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是</w:t>
            </w:r>
          </w:p>
        </w:tc>
        <w:tc>
          <w:tcPr>
            <w:tcW w:w="735"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选择</w:t>
            </w:r>
          </w:p>
        </w:tc>
        <w:tc>
          <w:tcPr>
            <w:tcW w:w="510" w:type="dxa"/>
            <w:tcBorders>
              <w:top w:val="single" w:color="000000" w:sz="8" w:space="0"/>
              <w:left w:val="single" w:color="000000" w:sz="8" w:space="0"/>
              <w:bottom w:val="single" w:color="auto" w:sz="4"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tcBorders>
              <w:top w:val="single" w:color="000000" w:sz="8" w:space="0"/>
              <w:left w:val="single" w:color="000000" w:sz="8" w:space="0"/>
              <w:bottom w:val="single" w:color="auto" w:sz="4"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4140" w:hRule="atLeast"/>
        </w:trPr>
        <w:tc>
          <w:tcPr>
            <w:tcW w:w="482"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val="en-US" w:eastAsia="zh-CN" w:bidi="ar"/>
              </w:rPr>
              <w:t>6</w:t>
            </w:r>
          </w:p>
        </w:tc>
        <w:tc>
          <w:tcPr>
            <w:tcW w:w="480"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县人力资源和社会保障局</w:t>
            </w:r>
          </w:p>
        </w:tc>
        <w:tc>
          <w:tcPr>
            <w:tcW w:w="1230"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单位招用人员就业登记</w:t>
            </w:r>
          </w:p>
        </w:tc>
        <w:tc>
          <w:tcPr>
            <w:tcW w:w="169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职工在职证明</w:t>
            </w:r>
          </w:p>
        </w:tc>
        <w:tc>
          <w:tcPr>
            <w:tcW w:w="5475" w:type="dxa"/>
            <w:tcBorders>
              <w:top w:val="single" w:color="auto" w:sz="4" w:space="0"/>
              <w:left w:val="single" w:color="000000" w:sz="8" w:space="0"/>
              <w:bottom w:val="single" w:color="000000" w:sz="8" w:space="0"/>
              <w:right w:val="single" w:color="000000" w:sz="8" w:space="0"/>
            </w:tcBorders>
            <w:vAlign w:val="center"/>
          </w:tcPr>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 xml:space="preserve">《关于印发就业与失业登记证管理办法实施细则的通知》（宁人社发[2010]472号） </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第十条　劳动者在办理单位招用人员就业登记，应提供以下资料：</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（一）居民身份证原件及复印件；</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（二）</w:t>
            </w:r>
            <w:r>
              <w:rPr>
                <w:rFonts w:hint="eastAsia" w:ascii="仿宋_GB2312" w:hAnsi="宋体" w:eastAsia="仿宋_GB2312" w:cs="仿宋_GB2312"/>
                <w:b/>
                <w:bCs/>
                <w:color w:val="000000"/>
                <w:kern w:val="0"/>
                <w:sz w:val="22"/>
                <w:szCs w:val="22"/>
                <w:lang w:bidi="ar"/>
              </w:rPr>
              <w:t>职工在职证明</w:t>
            </w:r>
            <w:r>
              <w:rPr>
                <w:rFonts w:hint="eastAsia" w:ascii="仿宋_GB2312" w:hAnsi="宋体" w:eastAsia="仿宋_GB2312" w:cs="仿宋_GB2312"/>
                <w:color w:val="000000"/>
                <w:kern w:val="0"/>
                <w:sz w:val="22"/>
                <w:szCs w:val="22"/>
                <w:lang w:bidi="ar"/>
              </w:rPr>
              <w:t>；</w:t>
            </w:r>
          </w:p>
        </w:tc>
        <w:tc>
          <w:tcPr>
            <w:tcW w:w="97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县人力资源和社会保障局（就业中心）</w:t>
            </w:r>
          </w:p>
        </w:tc>
        <w:tc>
          <w:tcPr>
            <w:tcW w:w="990"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用</w:t>
            </w:r>
          </w:p>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人</w:t>
            </w:r>
          </w:p>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单</w:t>
            </w:r>
          </w:p>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位</w:t>
            </w:r>
          </w:p>
        </w:tc>
        <w:tc>
          <w:tcPr>
            <w:tcW w:w="70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是</w:t>
            </w:r>
          </w:p>
        </w:tc>
        <w:tc>
          <w:tcPr>
            <w:tcW w:w="735" w:type="dxa"/>
            <w:tcBorders>
              <w:top w:val="single" w:color="auto" w:sz="4"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选择</w:t>
            </w:r>
          </w:p>
        </w:tc>
        <w:tc>
          <w:tcPr>
            <w:tcW w:w="510" w:type="dxa"/>
            <w:tcBorders>
              <w:top w:val="single" w:color="auto" w:sz="4"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tcBorders>
              <w:top w:val="single" w:color="auto" w:sz="4"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4745" w:hRule="atLeast"/>
        </w:trPr>
        <w:tc>
          <w:tcPr>
            <w:tcW w:w="482"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val="en-US" w:eastAsia="zh-CN" w:bidi="ar"/>
              </w:rPr>
              <w:t>7</w:t>
            </w:r>
          </w:p>
        </w:tc>
        <w:tc>
          <w:tcPr>
            <w:tcW w:w="4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县司法局</w:t>
            </w:r>
          </w:p>
        </w:tc>
        <w:tc>
          <w:tcPr>
            <w:tcW w:w="123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法律援助的申请和受理</w:t>
            </w:r>
          </w:p>
        </w:tc>
        <w:tc>
          <w:tcPr>
            <w:tcW w:w="169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家庭经济困难证明</w:t>
            </w:r>
          </w:p>
        </w:tc>
        <w:tc>
          <w:tcPr>
            <w:tcW w:w="5475" w:type="dxa"/>
            <w:tcBorders>
              <w:top w:val="single" w:color="000000" w:sz="8" w:space="0"/>
              <w:left w:val="single" w:color="000000" w:sz="8" w:space="0"/>
              <w:bottom w:val="single" w:color="000000" w:sz="8" w:space="0"/>
              <w:right w:val="single" w:color="000000" w:sz="8" w:space="0"/>
            </w:tcBorders>
            <w:vAlign w:val="center"/>
          </w:tcPr>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《宁夏回族自治区法律援助条例》2006年7月21日公布 2017年9月28日修改）</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第十四条　公民申请代理、刑事辩护等法律援助，应当向法律援助机构提供下列证明、材料：</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（一）身份证、户口簿或者其他合法有效的身份证明；</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（二）乡（镇）人民政府、街道办事处或者有关行政管理部门出具的申请人及其</w:t>
            </w:r>
            <w:r>
              <w:rPr>
                <w:rFonts w:hint="eastAsia" w:ascii="仿宋_GB2312" w:hAnsi="宋体" w:eastAsia="仿宋_GB2312" w:cs="仿宋_GB2312"/>
                <w:b/>
                <w:bCs/>
                <w:color w:val="000000"/>
                <w:kern w:val="0"/>
                <w:sz w:val="22"/>
                <w:szCs w:val="22"/>
                <w:lang w:bidi="ar"/>
              </w:rPr>
              <w:t>家庭经济困难证明</w:t>
            </w:r>
            <w:r>
              <w:rPr>
                <w:rFonts w:hint="eastAsia" w:ascii="仿宋_GB2312" w:hAnsi="宋体" w:eastAsia="仿宋_GB2312" w:cs="仿宋_GB2312"/>
                <w:color w:val="000000"/>
                <w:kern w:val="0"/>
                <w:sz w:val="22"/>
                <w:szCs w:val="22"/>
                <w:lang w:bidi="ar"/>
              </w:rPr>
              <w:t>或者县（市、区）民政部门颁发的《农村村民最低生活保障证》、《农村特困灾民救助证》、《城市居民最低生活保障证》；</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（三）与所申请法律援助事项有关的材料。</w:t>
            </w:r>
          </w:p>
          <w:p>
            <w:pPr>
              <w:widowControl/>
              <w:ind w:firstLine="440" w:firstLineChars="200"/>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可以即时办理的法律咨询等法律援助事项，法律援助机构应当即时办理。</w:t>
            </w:r>
          </w:p>
        </w:tc>
        <w:tc>
          <w:tcPr>
            <w:tcW w:w="97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县</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法</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局</w:t>
            </w:r>
          </w:p>
        </w:tc>
        <w:tc>
          <w:tcPr>
            <w:tcW w:w="99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乡镇（街道）、民政部门及相关行政管理部门</w:t>
            </w:r>
          </w:p>
        </w:tc>
        <w:tc>
          <w:tcPr>
            <w:tcW w:w="70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是</w:t>
            </w:r>
          </w:p>
        </w:tc>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选择</w:t>
            </w:r>
          </w:p>
        </w:tc>
        <w:tc>
          <w:tcPr>
            <w:tcW w:w="51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8941" w:hRule="atLeast"/>
        </w:trPr>
        <w:tc>
          <w:tcPr>
            <w:tcW w:w="482"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val="en-US" w:eastAsia="zh-CN" w:bidi="ar"/>
              </w:rPr>
              <w:t>8</w:t>
            </w:r>
          </w:p>
        </w:tc>
        <w:tc>
          <w:tcPr>
            <w:tcW w:w="480"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县民政局</w:t>
            </w:r>
          </w:p>
        </w:tc>
        <w:tc>
          <w:tcPr>
            <w:tcW w:w="1230"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收养登记</w:t>
            </w:r>
          </w:p>
        </w:tc>
        <w:tc>
          <w:tcPr>
            <w:tcW w:w="1695" w:type="dxa"/>
            <w:tcBorders>
              <w:top w:val="single" w:color="000000" w:sz="8" w:space="0"/>
              <w:left w:val="single" w:color="000000" w:sz="8" w:space="0"/>
              <w:bottom w:val="single" w:color="auto" w:sz="4" w:space="0"/>
              <w:right w:val="single" w:color="000000" w:sz="8"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收养人婚姻状况和抚养教育被收养人的能力等情况证明</w:t>
            </w:r>
          </w:p>
        </w:tc>
        <w:tc>
          <w:tcPr>
            <w:tcW w:w="5475" w:type="dxa"/>
            <w:tcBorders>
              <w:top w:val="single" w:color="000000" w:sz="8" w:space="0"/>
              <w:left w:val="single" w:color="000000" w:sz="8" w:space="0"/>
              <w:bottom w:val="single" w:color="auto" w:sz="4" w:space="0"/>
              <w:right w:val="single" w:color="000000" w:sz="8" w:space="0"/>
            </w:tcBorders>
            <w:vAlign w:val="center"/>
          </w:tcPr>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《中国公民收养子女登记办法》（1999年5月25日民政部令第14号发布 2019年3月2日修订）</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第五条　收养人应当向收养登记机关提交收养申请书和下列证件、证明材料：</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（一）收养人的居民户口簿和居民身份证；</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（二）由收养人所在单位或者村民委员会、居民委员会出具的</w:t>
            </w:r>
            <w:r>
              <w:rPr>
                <w:rFonts w:hint="eastAsia" w:ascii="仿宋_GB2312" w:hAnsi="宋体" w:eastAsia="仿宋_GB2312" w:cs="仿宋_GB2312"/>
                <w:b/>
                <w:bCs/>
                <w:color w:val="000000"/>
                <w:kern w:val="0"/>
                <w:sz w:val="22"/>
                <w:szCs w:val="22"/>
                <w:lang w:bidi="ar"/>
              </w:rPr>
              <w:t>本人婚姻状况和抚养教育被收养人的能力等情况的证明</w:t>
            </w:r>
            <w:r>
              <w:rPr>
                <w:rFonts w:hint="eastAsia" w:ascii="仿宋_GB2312" w:hAnsi="宋体" w:eastAsia="仿宋_GB2312" w:cs="仿宋_GB2312"/>
                <w:color w:val="000000"/>
                <w:kern w:val="0"/>
                <w:sz w:val="22"/>
                <w:szCs w:val="22"/>
                <w:lang w:bidi="ar"/>
              </w:rPr>
              <w:t>，以及收养人出具的子女情况声明；</w:t>
            </w:r>
          </w:p>
          <w:p>
            <w:pPr>
              <w:widowControl/>
              <w:ind w:firstLine="440" w:firstLineChars="200"/>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（三）县级以上医疗机构出具的未患有在医学上认为不应当收养子女的疾病的身体健康检查证明。</w:t>
            </w:r>
          </w:p>
          <w:p>
            <w:pPr>
              <w:widowControl/>
              <w:ind w:firstLine="440" w:firstLineChars="200"/>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    </w:t>
            </w:r>
          </w:p>
        </w:tc>
        <w:tc>
          <w:tcPr>
            <w:tcW w:w="975"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县</w:t>
            </w:r>
          </w:p>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民</w:t>
            </w:r>
          </w:p>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政</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局</w:t>
            </w:r>
          </w:p>
        </w:tc>
        <w:tc>
          <w:tcPr>
            <w:tcW w:w="990"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收养人所在单位、村（居）委会</w:t>
            </w:r>
          </w:p>
        </w:tc>
        <w:tc>
          <w:tcPr>
            <w:tcW w:w="705"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是</w:t>
            </w:r>
          </w:p>
        </w:tc>
        <w:tc>
          <w:tcPr>
            <w:tcW w:w="735" w:type="dxa"/>
            <w:tcBorders>
              <w:top w:val="single" w:color="000000" w:sz="8" w:space="0"/>
              <w:left w:val="single" w:color="000000" w:sz="8" w:space="0"/>
              <w:bottom w:val="single" w:color="auto" w:sz="4" w:space="0"/>
              <w:right w:val="single" w:color="000000" w:sz="8"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选择</w:t>
            </w:r>
          </w:p>
        </w:tc>
        <w:tc>
          <w:tcPr>
            <w:tcW w:w="510" w:type="dxa"/>
            <w:tcBorders>
              <w:top w:val="single" w:color="000000" w:sz="8" w:space="0"/>
              <w:left w:val="single" w:color="000000" w:sz="8" w:space="0"/>
              <w:bottom w:val="single" w:color="auto" w:sz="4" w:space="0"/>
              <w:right w:val="single" w:color="000000" w:sz="8" w:space="0"/>
            </w:tcBorders>
            <w:vAlign w:val="center"/>
          </w:tcPr>
          <w:p>
            <w:pPr>
              <w:jc w:val="center"/>
              <w:rPr>
                <w:rFonts w:ascii="仿宋_GB2312" w:hAnsi="宋体" w:eastAsia="仿宋_GB2312" w:cs="仿宋_GB2312"/>
                <w:color w:val="000000"/>
                <w:sz w:val="22"/>
                <w:szCs w:val="22"/>
              </w:rPr>
            </w:pPr>
          </w:p>
        </w:tc>
        <w:tc>
          <w:tcPr>
            <w:tcW w:w="1110" w:type="dxa"/>
            <w:tcBorders>
              <w:top w:val="single" w:color="000000" w:sz="8" w:space="0"/>
              <w:left w:val="single" w:color="000000" w:sz="8" w:space="0"/>
              <w:bottom w:val="single" w:color="auto" w:sz="4" w:space="0"/>
              <w:right w:val="single" w:color="000000" w:sz="8" w:space="0"/>
            </w:tcBorders>
            <w:vAlign w:val="center"/>
          </w:tcPr>
          <w:p>
            <w:pPr>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8978" w:hRule="atLeast"/>
        </w:trPr>
        <w:tc>
          <w:tcPr>
            <w:tcW w:w="482" w:type="dxa"/>
            <w:tcBorders>
              <w:top w:val="single" w:color="000000" w:sz="8" w:space="0"/>
              <w:left w:val="single" w:color="000000" w:sz="8" w:space="0"/>
              <w:bottom w:val="single" w:color="000000" w:sz="8" w:space="0"/>
              <w:right w:val="single" w:color="000000" w:sz="8" w:space="0"/>
            </w:tcBorders>
            <w:noWrap/>
            <w:vAlign w:val="center"/>
          </w:tcPr>
          <w:p>
            <w:pPr>
              <w:spacing w:line="320" w:lineRule="exact"/>
              <w:jc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sz w:val="22"/>
                <w:szCs w:val="22"/>
                <w:lang w:val="en-US" w:eastAsia="zh-CN"/>
              </w:rPr>
              <w:t>9</w:t>
            </w:r>
          </w:p>
        </w:tc>
        <w:tc>
          <w:tcPr>
            <w:tcW w:w="48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仿宋_GB2312" w:hAnsi="仿宋_GB2312" w:eastAsia="仿宋_GB2312" w:cs="仿宋_GB2312"/>
                <w:kern w:val="0"/>
                <w:sz w:val="22"/>
                <w:szCs w:val="22"/>
                <w:lang w:bidi="ar"/>
              </w:rPr>
            </w:pPr>
            <w:r>
              <w:rPr>
                <w:rFonts w:hint="eastAsia" w:ascii="仿宋_GB2312" w:hAnsi="宋体" w:eastAsia="仿宋_GB2312" w:cs="仿宋_GB2312"/>
                <w:color w:val="000000"/>
                <w:sz w:val="22"/>
                <w:szCs w:val="22"/>
              </w:rPr>
              <w:t>县审批服务管理局</w:t>
            </w:r>
          </w:p>
        </w:tc>
        <w:tc>
          <w:tcPr>
            <w:tcW w:w="1230" w:type="dxa"/>
            <w:tcBorders>
              <w:top w:val="single" w:color="000000" w:sz="8" w:space="0"/>
              <w:left w:val="single" w:color="000000" w:sz="8" w:space="0"/>
              <w:bottom w:val="single" w:color="000000" w:sz="8" w:space="0"/>
              <w:right w:val="single" w:color="000000" w:sz="8" w:space="0"/>
            </w:tcBorders>
            <w:vAlign w:val="center"/>
          </w:tcPr>
          <w:p>
            <w:pPr>
              <w:spacing w:line="320" w:lineRule="exact"/>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食品经营许可证遗失、损坏补（换）发</w:t>
            </w:r>
          </w:p>
        </w:tc>
        <w:tc>
          <w:tcPr>
            <w:tcW w:w="1695"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left"/>
              <w:rPr>
                <w:rFonts w:ascii="仿宋_GB2312" w:hAnsi="仿宋_GB2312" w:eastAsia="仿宋_GB2312" w:cs="仿宋_GB2312"/>
                <w:bCs/>
                <w:color w:val="000000"/>
                <w:kern w:val="0"/>
                <w:sz w:val="22"/>
                <w:szCs w:val="22"/>
              </w:rPr>
            </w:pPr>
            <w:r>
              <w:rPr>
                <w:rFonts w:hint="eastAsia" w:ascii="仿宋_GB2312" w:hAnsi="仿宋_GB2312" w:eastAsia="仿宋_GB2312" w:cs="仿宋_GB2312"/>
                <w:kern w:val="0"/>
                <w:sz w:val="22"/>
                <w:szCs w:val="22"/>
                <w:lang w:bidi="ar"/>
              </w:rPr>
              <w:t>刊登的遗失声明（在媒介上刊登的遗失声明，注明单位名称和许可证号）</w:t>
            </w:r>
          </w:p>
        </w:tc>
        <w:tc>
          <w:tcPr>
            <w:tcW w:w="5475" w:type="dxa"/>
            <w:tcBorders>
              <w:top w:val="single" w:color="000000" w:sz="8" w:space="0"/>
              <w:left w:val="single" w:color="000000" w:sz="8" w:space="0"/>
              <w:bottom w:val="single" w:color="000000" w:sz="8" w:space="0"/>
              <w:right w:val="single" w:color="000000" w:sz="8" w:space="0"/>
            </w:tcBorders>
            <w:vAlign w:val="center"/>
          </w:tcPr>
          <w:p>
            <w:pPr>
              <w:spacing w:line="32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《食品经营许可管理办法》（2015年8月31日国家食品药品监管总局令第17号）</w:t>
            </w:r>
          </w:p>
          <w:p>
            <w:pPr>
              <w:spacing w:line="32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第三十五条　食品经营许可证遗失、损坏的，应当向原发证的食品药品监督管理部门申请补办，并提交下列材料：</w:t>
            </w:r>
          </w:p>
          <w:p>
            <w:pPr>
              <w:spacing w:line="32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（一）食品经营许可证补办申请书。</w:t>
            </w:r>
          </w:p>
          <w:p>
            <w:pPr>
              <w:spacing w:line="32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（二）食品经营许可证遗失的，申请人应当提交在县级以上地方食品药品监督管理部门网站或者其他县级以上主要媒体上</w:t>
            </w:r>
            <w:r>
              <w:rPr>
                <w:rFonts w:hint="eastAsia" w:ascii="仿宋_GB2312" w:hAnsi="仿宋_GB2312" w:eastAsia="仿宋_GB2312" w:cs="仿宋_GB2312"/>
                <w:b/>
                <w:bCs/>
                <w:sz w:val="22"/>
                <w:szCs w:val="22"/>
              </w:rPr>
              <w:t>刊登遗失公告的材料</w:t>
            </w:r>
            <w:r>
              <w:rPr>
                <w:rFonts w:hint="eastAsia" w:ascii="仿宋_GB2312" w:hAnsi="仿宋_GB2312" w:eastAsia="仿宋_GB2312" w:cs="仿宋_GB2312"/>
                <w:sz w:val="22"/>
                <w:szCs w:val="22"/>
              </w:rPr>
              <w:t>；食品经营许可证损坏的，应当提交损坏的食品经营许可证原件。</w:t>
            </w:r>
          </w:p>
          <w:p>
            <w:pPr>
              <w:spacing w:line="32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材料符合要求的，县级以上地方食品药品监督管理部门应当在受理后20个工作日内予以补发。</w:t>
            </w:r>
          </w:p>
          <w:p>
            <w:pPr>
              <w:spacing w:line="320" w:lineRule="exact"/>
              <w:ind w:firstLine="440" w:firstLineChars="200"/>
              <w:jc w:val="left"/>
              <w:rPr>
                <w:rFonts w:ascii="仿宋_GB2312" w:hAnsi="仿宋_GB2312" w:eastAsia="仿宋_GB2312" w:cs="仿宋_GB2312"/>
                <w:bCs/>
                <w:color w:val="000000"/>
                <w:kern w:val="0"/>
                <w:sz w:val="22"/>
                <w:szCs w:val="22"/>
              </w:rPr>
            </w:pPr>
            <w:r>
              <w:rPr>
                <w:rFonts w:hint="eastAsia" w:ascii="仿宋_GB2312" w:hAnsi="仿宋_GB2312" w:eastAsia="仿宋_GB2312" w:cs="仿宋_GB2312"/>
                <w:sz w:val="22"/>
                <w:szCs w:val="22"/>
              </w:rPr>
              <w:t>因遗失、损坏补发的食品经营许可证，许可证编号不变，发证日期和有效期与原证书保持一致。</w:t>
            </w:r>
          </w:p>
        </w:tc>
        <w:tc>
          <w:tcPr>
            <w:tcW w:w="97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kern w:val="0"/>
                <w:sz w:val="22"/>
                <w:szCs w:val="22"/>
                <w:lang w:bidi="ar"/>
              </w:rPr>
            </w:pPr>
            <w:r>
              <w:rPr>
                <w:rFonts w:hint="eastAsia" w:ascii="仿宋_GB2312" w:hAnsi="宋体" w:eastAsia="仿宋_GB2312" w:cs="仿宋_GB2312"/>
                <w:color w:val="000000"/>
                <w:kern w:val="0"/>
                <w:sz w:val="22"/>
                <w:szCs w:val="22"/>
                <w:lang w:bidi="ar"/>
              </w:rPr>
              <w:t>县审批服务管理局</w:t>
            </w:r>
          </w:p>
        </w:tc>
        <w:tc>
          <w:tcPr>
            <w:tcW w:w="99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sz w:val="22"/>
                <w:szCs w:val="22"/>
              </w:rPr>
              <w:t>申请人</w:t>
            </w:r>
          </w:p>
        </w:tc>
        <w:tc>
          <w:tcPr>
            <w:tcW w:w="70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kern w:val="0"/>
                <w:sz w:val="22"/>
                <w:szCs w:val="22"/>
                <w:lang w:bidi="ar"/>
              </w:rPr>
            </w:pPr>
            <w:r>
              <w:rPr>
                <w:rFonts w:hint="eastAsia" w:ascii="仿宋_GB2312" w:hAnsi="仿宋_GB2312" w:eastAsia="仿宋_GB2312" w:cs="仿宋_GB2312"/>
                <w:sz w:val="22"/>
                <w:szCs w:val="22"/>
              </w:rPr>
              <w:t>是</w:t>
            </w:r>
          </w:p>
        </w:tc>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选择</w:t>
            </w:r>
          </w:p>
        </w:tc>
        <w:tc>
          <w:tcPr>
            <w:tcW w:w="51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2"/>
                <w:szCs w:val="22"/>
              </w:rPr>
            </w:pPr>
          </w:p>
        </w:tc>
        <w:tc>
          <w:tcPr>
            <w:tcW w:w="1110" w:type="dxa"/>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仿宋_GB2312" w:eastAsia="仿宋_GB2312" w:cs="仿宋_GB2312"/>
                <w:color w:val="000000"/>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r>
        <w:tblPrEx>
          <w:tblCellMar>
            <w:top w:w="0" w:type="dxa"/>
            <w:left w:w="108" w:type="dxa"/>
            <w:bottom w:w="0" w:type="dxa"/>
            <w:right w:w="108" w:type="dxa"/>
          </w:tblCellMar>
        </w:tblPrEx>
        <w:trPr>
          <w:trHeight w:val="4414" w:hRule="atLeast"/>
        </w:trPr>
        <w:tc>
          <w:tcPr>
            <w:tcW w:w="482" w:type="dxa"/>
            <w:tcBorders>
              <w:top w:val="single" w:color="000000" w:sz="8" w:space="0"/>
              <w:left w:val="single" w:color="000000" w:sz="8" w:space="0"/>
              <w:bottom w:val="single" w:color="000000" w:sz="8" w:space="0"/>
              <w:right w:val="single" w:color="000000" w:sz="8" w:space="0"/>
            </w:tcBorders>
            <w:noWrap/>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color w:val="000000"/>
                <w:sz w:val="22"/>
                <w:szCs w:val="22"/>
                <w:lang w:val="en-US" w:eastAsia="zh-CN"/>
              </w:rPr>
              <w:t>10</w:t>
            </w:r>
          </w:p>
        </w:tc>
        <w:tc>
          <w:tcPr>
            <w:tcW w:w="480" w:type="dxa"/>
            <w:tcBorders>
              <w:top w:val="single" w:color="000000" w:sz="8" w:space="0"/>
              <w:left w:val="single" w:color="000000" w:sz="8" w:space="0"/>
              <w:bottom w:val="single" w:color="000000" w:sz="8" w:space="0"/>
              <w:right w:val="single" w:color="000000" w:sz="8" w:space="0"/>
            </w:tcBorders>
            <w:vAlign w:val="center"/>
          </w:tcPr>
          <w:p>
            <w:pPr>
              <w:pStyle w:val="18"/>
              <w:wordWrap w:val="0"/>
              <w:spacing w:after="147" w:line="338" w:lineRule="atLeast"/>
              <w:jc w:val="center"/>
              <w:rPr>
                <w:rFonts w:ascii="仿宋_GB2312" w:hAnsi="仿宋_GB2312" w:eastAsia="仿宋_GB2312" w:cs="仿宋_GB2312"/>
                <w:kern w:val="2"/>
                <w:sz w:val="22"/>
                <w:szCs w:val="22"/>
              </w:rPr>
            </w:pPr>
            <w:r>
              <w:rPr>
                <w:rFonts w:hint="eastAsia" w:ascii="仿宋_GB2312" w:hAnsi="仿宋_GB2312" w:eastAsia="仿宋_GB2312" w:cs="仿宋_GB2312"/>
                <w:sz w:val="22"/>
                <w:szCs w:val="22"/>
                <w:lang w:bidi="ar"/>
              </w:rPr>
              <w:t>县卫生健康局</w:t>
            </w:r>
          </w:p>
        </w:tc>
        <w:tc>
          <w:tcPr>
            <w:tcW w:w="1230" w:type="dxa"/>
            <w:tcBorders>
              <w:top w:val="single" w:color="000000" w:sz="8" w:space="0"/>
              <w:left w:val="single" w:color="000000" w:sz="8" w:space="0"/>
              <w:bottom w:val="single" w:color="000000" w:sz="8" w:space="0"/>
              <w:right w:val="single" w:color="000000" w:sz="8" w:space="0"/>
            </w:tcBorders>
            <w:vAlign w:val="center"/>
          </w:tcPr>
          <w:p>
            <w:pPr>
              <w:pStyle w:val="18"/>
              <w:wordWrap w:val="0"/>
              <w:spacing w:after="147" w:line="338" w:lineRule="atLeast"/>
              <w:jc w:val="center"/>
              <w:rPr>
                <w:rFonts w:ascii="仿宋_GB2312" w:hAnsi="仿宋_GB2312" w:eastAsia="仿宋_GB2312" w:cs="仿宋_GB2312"/>
                <w:kern w:val="2"/>
                <w:sz w:val="22"/>
                <w:szCs w:val="22"/>
              </w:rPr>
            </w:pPr>
            <w:r>
              <w:rPr>
                <w:rFonts w:hint="eastAsia" w:ascii="仿宋_GB2312" w:hAnsi="仿宋_GB2312" w:eastAsia="仿宋_GB2312" w:cs="仿宋_GB2312"/>
                <w:color w:val="000000"/>
                <w:sz w:val="22"/>
                <w:szCs w:val="22"/>
              </w:rPr>
              <w:t>乡村医生执业再注册、变更</w:t>
            </w:r>
          </w:p>
        </w:tc>
        <w:tc>
          <w:tcPr>
            <w:tcW w:w="169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color w:val="000000"/>
                <w:sz w:val="22"/>
                <w:szCs w:val="22"/>
                <w:shd w:val="clear" w:color="auto" w:fill="FFFFFF"/>
              </w:rPr>
              <w:t>医疗机构聘用证明</w:t>
            </w:r>
          </w:p>
        </w:tc>
        <w:tc>
          <w:tcPr>
            <w:tcW w:w="5475" w:type="dxa"/>
            <w:tcBorders>
              <w:top w:val="single" w:color="000000" w:sz="8" w:space="0"/>
              <w:left w:val="single" w:color="000000" w:sz="8" w:space="0"/>
              <w:bottom w:val="single" w:color="000000" w:sz="8" w:space="0"/>
              <w:right w:val="single" w:color="000000" w:sz="8" w:space="0"/>
            </w:tcBorders>
            <w:vAlign w:val="center"/>
          </w:tcPr>
          <w:p>
            <w:pPr>
              <w:ind w:firstLine="440" w:firstLineChars="200"/>
              <w:rPr>
                <w:rFonts w:ascii="仿宋_GB2312" w:hAnsi="仿宋_GB2312" w:eastAsia="仿宋_GB2312" w:cs="仿宋_GB2312"/>
                <w:color w:val="000000"/>
                <w:sz w:val="22"/>
                <w:szCs w:val="22"/>
                <w:shd w:val="clear" w:color="auto" w:fill="FFFFFF"/>
              </w:rPr>
            </w:pPr>
            <w:r>
              <w:rPr>
                <w:rFonts w:hint="eastAsia" w:ascii="仿宋_GB2312" w:hAnsi="仿宋_GB2312" w:eastAsia="仿宋_GB2312" w:cs="仿宋_GB2312"/>
                <w:color w:val="000000"/>
                <w:sz w:val="22"/>
                <w:szCs w:val="22"/>
                <w:shd w:val="clear" w:color="auto" w:fill="FFFFFF"/>
              </w:rPr>
              <w:t>《乡村医生从业管理条例》（2003年8月5日国务院令第386号）</w:t>
            </w:r>
          </w:p>
          <w:p>
            <w:pPr>
              <w:ind w:firstLine="440" w:firstLineChars="200"/>
              <w:rPr>
                <w:rFonts w:ascii="仿宋_GB2312" w:hAnsi="仿宋_GB2312" w:eastAsia="仿宋_GB2312" w:cs="仿宋_GB2312"/>
                <w:color w:val="000000"/>
                <w:sz w:val="22"/>
                <w:szCs w:val="22"/>
                <w:shd w:val="clear" w:color="auto" w:fill="FFFFFF"/>
              </w:rPr>
            </w:pPr>
            <w:r>
              <w:rPr>
                <w:rFonts w:hint="eastAsia" w:ascii="仿宋_GB2312" w:hAnsi="仿宋_GB2312" w:eastAsia="仿宋_GB2312" w:cs="仿宋_GB2312"/>
                <w:color w:val="000000"/>
                <w:sz w:val="22"/>
                <w:szCs w:val="22"/>
                <w:shd w:val="clear" w:color="auto" w:fill="FFFFFF"/>
              </w:rPr>
              <w:t>第九条  国家实行乡村医生执业注册制度。县级人民政府卫生行政主管部门负责乡村医生执业注册工作。</w:t>
            </w:r>
          </w:p>
          <w:p>
            <w:pPr>
              <w:ind w:firstLine="442" w:firstLineChars="200"/>
              <w:rPr>
                <w:rFonts w:ascii="仿宋_GB2312" w:hAnsi="仿宋_GB2312" w:eastAsia="仿宋_GB2312" w:cs="仿宋_GB2312"/>
                <w:sz w:val="22"/>
                <w:szCs w:val="22"/>
                <w:lang w:val="zh-CN"/>
              </w:rPr>
            </w:pPr>
            <w:r>
              <w:rPr>
                <w:rFonts w:hint="eastAsia" w:ascii="仿宋_GB2312" w:hAnsi="仿宋_GB2312" w:eastAsia="仿宋_GB2312" w:cs="仿宋_GB2312"/>
                <w:b/>
                <w:color w:val="333333"/>
                <w:sz w:val="22"/>
                <w:szCs w:val="22"/>
                <w:shd w:val="clear" w:color="auto" w:fill="FFFFFF"/>
              </w:rPr>
              <w:t>第十三条</w:t>
            </w:r>
            <w:r>
              <w:rPr>
                <w:rFonts w:hint="eastAsia" w:ascii="仿宋_GB2312" w:hAnsi="仿宋_GB2312" w:eastAsia="仿宋_GB2312" w:cs="仿宋_GB2312"/>
                <w:color w:val="333333"/>
                <w:sz w:val="22"/>
                <w:szCs w:val="22"/>
                <w:shd w:val="clear" w:color="auto" w:fill="FFFFFF"/>
              </w:rPr>
              <w:t>　符合本条例规定申请在村医疗卫生机构执业的人员，</w:t>
            </w:r>
            <w:r>
              <w:rPr>
                <w:rFonts w:hint="eastAsia" w:ascii="仿宋_GB2312" w:hAnsi="仿宋_GB2312" w:eastAsia="仿宋_GB2312" w:cs="仿宋_GB2312"/>
                <w:b/>
                <w:bCs/>
                <w:color w:val="333333"/>
                <w:sz w:val="22"/>
                <w:szCs w:val="22"/>
                <w:shd w:val="clear" w:color="auto" w:fill="FFFFFF"/>
              </w:rPr>
              <w:t>应当持村医疗卫生机构出具的拟聘用证明</w:t>
            </w:r>
            <w:r>
              <w:rPr>
                <w:rFonts w:hint="eastAsia" w:ascii="仿宋_GB2312" w:hAnsi="仿宋_GB2312" w:eastAsia="仿宋_GB2312" w:cs="仿宋_GB2312"/>
                <w:color w:val="333333"/>
                <w:sz w:val="22"/>
                <w:szCs w:val="22"/>
                <w:shd w:val="clear" w:color="auto" w:fill="FFFFFF"/>
              </w:rPr>
              <w:t>和相关学历证明、证书，向村医疗卫生机构所在地的县级人民政府卫生行政主管部门申请执业注册。</w:t>
            </w:r>
          </w:p>
        </w:tc>
        <w:tc>
          <w:tcPr>
            <w:tcW w:w="97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县卫生健康局</w:t>
            </w:r>
          </w:p>
        </w:tc>
        <w:tc>
          <w:tcPr>
            <w:tcW w:w="99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2"/>
                <w:szCs w:val="22"/>
              </w:rPr>
            </w:pPr>
            <w:r>
              <w:rPr>
                <w:rFonts w:hint="eastAsia" w:ascii="仿宋_GB2312" w:hAnsi="仿宋_GB2312" w:eastAsia="仿宋_GB2312" w:cs="仿宋_GB2312"/>
                <w:color w:val="000000"/>
                <w:sz w:val="22"/>
                <w:szCs w:val="22"/>
              </w:rPr>
              <w:t>各</w:t>
            </w:r>
            <w:r>
              <w:rPr>
                <w:rFonts w:hint="eastAsia" w:ascii="仿宋_GB2312" w:hAnsi="仿宋_GB2312" w:eastAsia="仿宋_GB2312" w:cs="仿宋_GB2312"/>
                <w:color w:val="333333"/>
                <w:sz w:val="22"/>
                <w:szCs w:val="22"/>
                <w:shd w:val="clear" w:color="auto" w:fill="FFFFFF"/>
              </w:rPr>
              <w:t>村医疗卫生机构</w:t>
            </w:r>
          </w:p>
        </w:tc>
        <w:tc>
          <w:tcPr>
            <w:tcW w:w="70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是</w:t>
            </w:r>
          </w:p>
        </w:tc>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选择</w:t>
            </w:r>
          </w:p>
        </w:tc>
        <w:tc>
          <w:tcPr>
            <w:tcW w:w="51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2"/>
                <w:szCs w:val="22"/>
              </w:rPr>
            </w:pPr>
          </w:p>
        </w:tc>
        <w:tc>
          <w:tcPr>
            <w:tcW w:w="1110" w:type="dxa"/>
            <w:tcBorders>
              <w:top w:val="single" w:color="000000" w:sz="8" w:space="0"/>
              <w:left w:val="single" w:color="000000" w:sz="8" w:space="0"/>
              <w:bottom w:val="single" w:color="000000" w:sz="8" w:space="0"/>
              <w:right w:val="single" w:color="000000" w:sz="8" w:space="0"/>
            </w:tcBorders>
            <w:vAlign w:val="center"/>
          </w:tcPr>
          <w:p>
            <w:pPr>
              <w:jc w:val="left"/>
              <w:rPr>
                <w:rFonts w:ascii="仿宋_GB2312" w:hAnsi="仿宋_GB2312" w:eastAsia="仿宋_GB2312" w:cs="仿宋_GB2312"/>
                <w:sz w:val="22"/>
                <w:szCs w:val="22"/>
              </w:rPr>
            </w:pPr>
            <w:r>
              <w:rPr>
                <w:rFonts w:hint="eastAsia" w:ascii="仿宋_GB2312" w:hAnsi="宋体" w:eastAsia="仿宋_GB2312" w:cs="仿宋_GB2312"/>
                <w:color w:val="000000"/>
                <w:sz w:val="22"/>
                <w:szCs w:val="22"/>
              </w:rPr>
              <w:t>具备查询条件的，应利用部门间、地区间信息核查或者部门内部核查与部门行政协助进行核验。</w:t>
            </w:r>
          </w:p>
        </w:tc>
      </w:tr>
    </w:tbl>
    <w:p>
      <w:pPr>
        <w:spacing w:line="240" w:lineRule="exact"/>
        <w:rPr>
          <w:lang w:bidi="ar"/>
        </w:rPr>
      </w:pPr>
    </w:p>
    <w:sectPr>
      <w:headerReference r:id="rId3" w:type="default"/>
      <w:footerReference r:id="rId4" w:type="default"/>
      <w:footerReference r:id="rId5" w:type="even"/>
      <w:pgSz w:w="16838" w:h="11906" w:orient="landscape"/>
      <w:pgMar w:top="1418" w:right="1418" w:bottom="1418" w:left="1418" w:header="851" w:footer="992" w:gutter="0"/>
      <w:cols w:space="0" w:num="1"/>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2963752"/>
    </w:sdtPr>
    <w:sdtEndPr>
      <w:rPr>
        <w:rFonts w:ascii="Times New Roman" w:hAnsi="Times New Roman"/>
        <w:sz w:val="28"/>
        <w:szCs w:val="28"/>
      </w:rPr>
    </w:sdtEndPr>
    <w:sdtContent>
      <w:p>
        <w:pPr>
          <w:pStyle w:val="2"/>
          <w:jc w:val="right"/>
          <w:rPr>
            <w:rFonts w:ascii="Times New Roman" w:hAnsi="Times New Roman"/>
            <w:sz w:val="28"/>
            <w:szCs w:val="28"/>
          </w:rPr>
        </w:pPr>
        <w:r>
          <w:rPr>
            <w:rFonts w:hint="eastAsia"/>
            <w:sz w:val="28"/>
            <w:szCs w:val="28"/>
          </w:rPr>
          <w:t>—</w:t>
        </w:r>
        <w: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hint="eastAsia" w:ascii="Times New Roman" w:hAnsi="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564038"/>
    </w:sdtPr>
    <w:sdtEndPr>
      <w:rPr>
        <w:rFonts w:ascii="Times New Roman" w:hAnsi="Times New Roman"/>
        <w:sz w:val="28"/>
        <w:szCs w:val="28"/>
      </w:rPr>
    </w:sdtEndPr>
    <w:sdtContent>
      <w:p>
        <w:pPr>
          <w:pStyle w:val="2"/>
          <w:rPr>
            <w:rFonts w:ascii="Times New Roman" w:hAnsi="Times New Roman"/>
            <w:sz w:val="28"/>
            <w:szCs w:val="28"/>
          </w:rPr>
        </w:pPr>
        <w:r>
          <w:rPr>
            <w:rFonts w:hint="eastAsia"/>
            <w:sz w:val="28"/>
            <w:szCs w:val="28"/>
          </w:rPr>
          <w:t>—</w:t>
        </w:r>
        <w:r>
          <w:rPr>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hint="eastAsia" w:ascii="Times New Roman" w:hAnsi="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E159B"/>
    <w:rsid w:val="0008517C"/>
    <w:rsid w:val="000859EA"/>
    <w:rsid w:val="000A34BE"/>
    <w:rsid w:val="0012429B"/>
    <w:rsid w:val="00130DA3"/>
    <w:rsid w:val="00154273"/>
    <w:rsid w:val="00162AC2"/>
    <w:rsid w:val="002920FE"/>
    <w:rsid w:val="002F69B1"/>
    <w:rsid w:val="0031552B"/>
    <w:rsid w:val="00352CB7"/>
    <w:rsid w:val="00365B2D"/>
    <w:rsid w:val="003F0DC2"/>
    <w:rsid w:val="00484B1C"/>
    <w:rsid w:val="004A3DDC"/>
    <w:rsid w:val="005066BA"/>
    <w:rsid w:val="00693CC0"/>
    <w:rsid w:val="007048E4"/>
    <w:rsid w:val="00730E51"/>
    <w:rsid w:val="008062AF"/>
    <w:rsid w:val="008D52D9"/>
    <w:rsid w:val="008E1950"/>
    <w:rsid w:val="008E4AC9"/>
    <w:rsid w:val="009036DE"/>
    <w:rsid w:val="00985FB0"/>
    <w:rsid w:val="009E64D4"/>
    <w:rsid w:val="00A451B4"/>
    <w:rsid w:val="00B0452E"/>
    <w:rsid w:val="00B113AA"/>
    <w:rsid w:val="00B306B9"/>
    <w:rsid w:val="00BC4460"/>
    <w:rsid w:val="00C0331A"/>
    <w:rsid w:val="00C77C94"/>
    <w:rsid w:val="00CF3780"/>
    <w:rsid w:val="00D87E02"/>
    <w:rsid w:val="00DF6739"/>
    <w:rsid w:val="00E055FF"/>
    <w:rsid w:val="00E219D7"/>
    <w:rsid w:val="00E32643"/>
    <w:rsid w:val="00E34A4F"/>
    <w:rsid w:val="00EC37A5"/>
    <w:rsid w:val="00F315E3"/>
    <w:rsid w:val="01403740"/>
    <w:rsid w:val="023D5529"/>
    <w:rsid w:val="0245189A"/>
    <w:rsid w:val="02F83318"/>
    <w:rsid w:val="0347375A"/>
    <w:rsid w:val="05E44D97"/>
    <w:rsid w:val="06915DE8"/>
    <w:rsid w:val="084C6207"/>
    <w:rsid w:val="084D6025"/>
    <w:rsid w:val="0A4917C4"/>
    <w:rsid w:val="0A830D97"/>
    <w:rsid w:val="0AFF6AE0"/>
    <w:rsid w:val="0C620C11"/>
    <w:rsid w:val="0C815221"/>
    <w:rsid w:val="0F0D58BE"/>
    <w:rsid w:val="0F84075C"/>
    <w:rsid w:val="0F8B272E"/>
    <w:rsid w:val="0F8C6141"/>
    <w:rsid w:val="0F96659B"/>
    <w:rsid w:val="0FD15D24"/>
    <w:rsid w:val="0FF9471D"/>
    <w:rsid w:val="108C2378"/>
    <w:rsid w:val="109D42B1"/>
    <w:rsid w:val="11710E3E"/>
    <w:rsid w:val="121A1365"/>
    <w:rsid w:val="136066CA"/>
    <w:rsid w:val="137C78BC"/>
    <w:rsid w:val="147F75AC"/>
    <w:rsid w:val="15393D30"/>
    <w:rsid w:val="15B5734D"/>
    <w:rsid w:val="15E311AA"/>
    <w:rsid w:val="15F555B1"/>
    <w:rsid w:val="16780CA2"/>
    <w:rsid w:val="16843B57"/>
    <w:rsid w:val="170A50BE"/>
    <w:rsid w:val="17492382"/>
    <w:rsid w:val="17A31001"/>
    <w:rsid w:val="17C74EFE"/>
    <w:rsid w:val="17EE3602"/>
    <w:rsid w:val="195C580B"/>
    <w:rsid w:val="1AB75E36"/>
    <w:rsid w:val="1ACE2787"/>
    <w:rsid w:val="1AD808E3"/>
    <w:rsid w:val="1AFD5F3E"/>
    <w:rsid w:val="1B04370A"/>
    <w:rsid w:val="1B337A41"/>
    <w:rsid w:val="1B6D1003"/>
    <w:rsid w:val="1BB153AB"/>
    <w:rsid w:val="1BF5286C"/>
    <w:rsid w:val="1CF25C83"/>
    <w:rsid w:val="1D1C4199"/>
    <w:rsid w:val="1D1F6411"/>
    <w:rsid w:val="1DB93368"/>
    <w:rsid w:val="1F481F83"/>
    <w:rsid w:val="207E3B7C"/>
    <w:rsid w:val="211E1A8A"/>
    <w:rsid w:val="21486C3E"/>
    <w:rsid w:val="22484030"/>
    <w:rsid w:val="22714BDA"/>
    <w:rsid w:val="22E13E19"/>
    <w:rsid w:val="22E85BE0"/>
    <w:rsid w:val="237D7FB2"/>
    <w:rsid w:val="23D46822"/>
    <w:rsid w:val="23ED385B"/>
    <w:rsid w:val="243E332F"/>
    <w:rsid w:val="24555733"/>
    <w:rsid w:val="24B649DE"/>
    <w:rsid w:val="2534171C"/>
    <w:rsid w:val="25367BDF"/>
    <w:rsid w:val="2654246A"/>
    <w:rsid w:val="266241E4"/>
    <w:rsid w:val="26671B36"/>
    <w:rsid w:val="269318DF"/>
    <w:rsid w:val="27071609"/>
    <w:rsid w:val="2817568A"/>
    <w:rsid w:val="28666581"/>
    <w:rsid w:val="291F62C8"/>
    <w:rsid w:val="2A1C5DAD"/>
    <w:rsid w:val="2A610E73"/>
    <w:rsid w:val="2AE67551"/>
    <w:rsid w:val="2B830E3B"/>
    <w:rsid w:val="2B98315F"/>
    <w:rsid w:val="2C8745F6"/>
    <w:rsid w:val="2CAA5BA0"/>
    <w:rsid w:val="2CB81AD4"/>
    <w:rsid w:val="2CBA5B3D"/>
    <w:rsid w:val="2CE755F0"/>
    <w:rsid w:val="2D2B3DB5"/>
    <w:rsid w:val="2D7F0126"/>
    <w:rsid w:val="2E7C2554"/>
    <w:rsid w:val="2EAC1654"/>
    <w:rsid w:val="2F0B7D75"/>
    <w:rsid w:val="30FB79E8"/>
    <w:rsid w:val="31314EC5"/>
    <w:rsid w:val="31625474"/>
    <w:rsid w:val="3298200E"/>
    <w:rsid w:val="33015EFF"/>
    <w:rsid w:val="335309DD"/>
    <w:rsid w:val="345C1399"/>
    <w:rsid w:val="34780AC4"/>
    <w:rsid w:val="34AB1EAE"/>
    <w:rsid w:val="34DE04E6"/>
    <w:rsid w:val="35A9078F"/>
    <w:rsid w:val="36152B21"/>
    <w:rsid w:val="36473185"/>
    <w:rsid w:val="36EF5CFE"/>
    <w:rsid w:val="37F76656"/>
    <w:rsid w:val="381D18E6"/>
    <w:rsid w:val="389F6007"/>
    <w:rsid w:val="38AE62FD"/>
    <w:rsid w:val="39574D6A"/>
    <w:rsid w:val="39FF2DA2"/>
    <w:rsid w:val="3A1C41F7"/>
    <w:rsid w:val="3A4730E3"/>
    <w:rsid w:val="3A6E159B"/>
    <w:rsid w:val="3A6F5083"/>
    <w:rsid w:val="3BCA2D9B"/>
    <w:rsid w:val="3BE04E87"/>
    <w:rsid w:val="3C4A189D"/>
    <w:rsid w:val="3CE8111C"/>
    <w:rsid w:val="3CF06F00"/>
    <w:rsid w:val="40BA2000"/>
    <w:rsid w:val="42636421"/>
    <w:rsid w:val="42F826D1"/>
    <w:rsid w:val="44215EF6"/>
    <w:rsid w:val="44895FEE"/>
    <w:rsid w:val="44FB02A0"/>
    <w:rsid w:val="459637E0"/>
    <w:rsid w:val="45966F40"/>
    <w:rsid w:val="46343F62"/>
    <w:rsid w:val="46B25B69"/>
    <w:rsid w:val="484A113C"/>
    <w:rsid w:val="48A11C33"/>
    <w:rsid w:val="48E847B1"/>
    <w:rsid w:val="48F331FC"/>
    <w:rsid w:val="49920E82"/>
    <w:rsid w:val="4A4E3CBA"/>
    <w:rsid w:val="4B8B37FA"/>
    <w:rsid w:val="4C7018C5"/>
    <w:rsid w:val="4CD21078"/>
    <w:rsid w:val="4D467EC5"/>
    <w:rsid w:val="4D9E7CF5"/>
    <w:rsid w:val="4E447B4C"/>
    <w:rsid w:val="4F0579B1"/>
    <w:rsid w:val="4F816CEA"/>
    <w:rsid w:val="4FA536DA"/>
    <w:rsid w:val="50EE70AA"/>
    <w:rsid w:val="516628A1"/>
    <w:rsid w:val="516E1399"/>
    <w:rsid w:val="518249CB"/>
    <w:rsid w:val="51BD1FDF"/>
    <w:rsid w:val="52180A6A"/>
    <w:rsid w:val="526F43CA"/>
    <w:rsid w:val="53396291"/>
    <w:rsid w:val="53A221F7"/>
    <w:rsid w:val="54036471"/>
    <w:rsid w:val="540D1326"/>
    <w:rsid w:val="54311831"/>
    <w:rsid w:val="557F228E"/>
    <w:rsid w:val="55932988"/>
    <w:rsid w:val="559B0344"/>
    <w:rsid w:val="55A95DB0"/>
    <w:rsid w:val="565E4834"/>
    <w:rsid w:val="566C2055"/>
    <w:rsid w:val="56FD47F2"/>
    <w:rsid w:val="57716806"/>
    <w:rsid w:val="57FA1C93"/>
    <w:rsid w:val="58192361"/>
    <w:rsid w:val="58571CA5"/>
    <w:rsid w:val="58B64C85"/>
    <w:rsid w:val="58E52EA6"/>
    <w:rsid w:val="58E77E99"/>
    <w:rsid w:val="59305622"/>
    <w:rsid w:val="595618C6"/>
    <w:rsid w:val="5967382D"/>
    <w:rsid w:val="5A5233ED"/>
    <w:rsid w:val="5AA170F2"/>
    <w:rsid w:val="5BC1008F"/>
    <w:rsid w:val="5C5160F0"/>
    <w:rsid w:val="5C52017D"/>
    <w:rsid w:val="5D5D1C1E"/>
    <w:rsid w:val="5D616D56"/>
    <w:rsid w:val="5DF00404"/>
    <w:rsid w:val="5E570CCE"/>
    <w:rsid w:val="5F703E39"/>
    <w:rsid w:val="5FCA7759"/>
    <w:rsid w:val="601053F1"/>
    <w:rsid w:val="602815BF"/>
    <w:rsid w:val="60897D19"/>
    <w:rsid w:val="60C349E3"/>
    <w:rsid w:val="60F72066"/>
    <w:rsid w:val="611E1E8E"/>
    <w:rsid w:val="617537FC"/>
    <w:rsid w:val="618E4024"/>
    <w:rsid w:val="62B52202"/>
    <w:rsid w:val="62C124DD"/>
    <w:rsid w:val="6312520E"/>
    <w:rsid w:val="63385D20"/>
    <w:rsid w:val="63AD36EC"/>
    <w:rsid w:val="64BC54EA"/>
    <w:rsid w:val="64F81FF9"/>
    <w:rsid w:val="6513652F"/>
    <w:rsid w:val="654D0473"/>
    <w:rsid w:val="65896CA5"/>
    <w:rsid w:val="658B59C5"/>
    <w:rsid w:val="65C53911"/>
    <w:rsid w:val="65DA3318"/>
    <w:rsid w:val="67DD2F38"/>
    <w:rsid w:val="68AF685E"/>
    <w:rsid w:val="69473E20"/>
    <w:rsid w:val="696B6E13"/>
    <w:rsid w:val="6A640225"/>
    <w:rsid w:val="6ADB561F"/>
    <w:rsid w:val="6AF25710"/>
    <w:rsid w:val="6BBE20C9"/>
    <w:rsid w:val="6C4A5C1F"/>
    <w:rsid w:val="6C557147"/>
    <w:rsid w:val="6C7156F2"/>
    <w:rsid w:val="6C8B4CF6"/>
    <w:rsid w:val="6DD738C7"/>
    <w:rsid w:val="6E394424"/>
    <w:rsid w:val="6E7D10E3"/>
    <w:rsid w:val="6ED172E5"/>
    <w:rsid w:val="6F5F3730"/>
    <w:rsid w:val="707B4B80"/>
    <w:rsid w:val="70CF4BAF"/>
    <w:rsid w:val="71492B21"/>
    <w:rsid w:val="71C01D5F"/>
    <w:rsid w:val="725A1A1B"/>
    <w:rsid w:val="732E133B"/>
    <w:rsid w:val="74AB2D1C"/>
    <w:rsid w:val="74EE203B"/>
    <w:rsid w:val="75DE2615"/>
    <w:rsid w:val="76872E0E"/>
    <w:rsid w:val="7702303F"/>
    <w:rsid w:val="770933D7"/>
    <w:rsid w:val="77C50E46"/>
    <w:rsid w:val="77F66654"/>
    <w:rsid w:val="787122D0"/>
    <w:rsid w:val="78A41085"/>
    <w:rsid w:val="78BC0F38"/>
    <w:rsid w:val="790B6E9D"/>
    <w:rsid w:val="7AE2265E"/>
    <w:rsid w:val="7B46465C"/>
    <w:rsid w:val="7B776BAF"/>
    <w:rsid w:val="7BDA4B78"/>
    <w:rsid w:val="7C0B44CE"/>
    <w:rsid w:val="7C0D0BF2"/>
    <w:rsid w:val="7CA116B9"/>
    <w:rsid w:val="7CC0423D"/>
    <w:rsid w:val="7D1308F0"/>
    <w:rsid w:val="7D8A027C"/>
    <w:rsid w:val="7D913203"/>
    <w:rsid w:val="7E275DD4"/>
    <w:rsid w:val="7E9D7788"/>
    <w:rsid w:val="7FD3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Body Text Indent"/>
    <w:basedOn w:val="1"/>
    <w:link w:val="16"/>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1"/>
    <w:qFormat/>
    <w:uiPriority w:val="0"/>
    <w:pPr>
      <w:spacing w:beforeAutospacing="1" w:afterAutospacing="1"/>
      <w:jc w:val="left"/>
    </w:pPr>
    <w:rPr>
      <w:kern w:val="0"/>
      <w:sz w:val="24"/>
    </w:rPr>
  </w:style>
  <w:style w:type="paragraph" w:styleId="7">
    <w:name w:val="Title"/>
    <w:basedOn w:val="1"/>
    <w:next w:val="1"/>
    <w:qFormat/>
    <w:uiPriority w:val="0"/>
    <w:pPr>
      <w:spacing w:before="240" w:after="60"/>
      <w:jc w:val="center"/>
      <w:outlineLvl w:val="0"/>
    </w:pPr>
    <w:rPr>
      <w:rFonts w:ascii="Cambria" w:hAnsi="Cambria"/>
      <w:b/>
      <w:bCs/>
    </w:rPr>
  </w:style>
  <w:style w:type="paragraph" w:styleId="8">
    <w:name w:val="Body Text First Indent 2"/>
    <w:basedOn w:val="3"/>
    <w:link w:val="17"/>
    <w:qFormat/>
    <w:uiPriority w:val="99"/>
    <w:pPr>
      <w:spacing w:after="0"/>
      <w:ind w:left="0" w:leftChars="0" w:firstLine="420" w:firstLineChars="200"/>
    </w:pPr>
    <w:rPr>
      <w:rFonts w:ascii="Times New Roman" w:hAnsi="Times New Roman" w:eastAsia="仿宋_GB2312"/>
      <w:sz w:val="32"/>
      <w:szCs w:val="32"/>
    </w:rPr>
  </w:style>
  <w:style w:type="character" w:styleId="11">
    <w:name w:val="page number"/>
    <w:basedOn w:val="10"/>
    <w:qFormat/>
    <w:uiPriority w:val="0"/>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customStyle="1" w:styleId="14">
    <w:name w:val="批注框文本 Char"/>
    <w:basedOn w:val="10"/>
    <w:link w:val="4"/>
    <w:qFormat/>
    <w:uiPriority w:val="0"/>
    <w:rPr>
      <w:rFonts w:ascii="Calibri" w:hAnsi="Calibri"/>
      <w:kern w:val="2"/>
      <w:sz w:val="18"/>
      <w:szCs w:val="18"/>
    </w:rPr>
  </w:style>
  <w:style w:type="character" w:customStyle="1" w:styleId="15">
    <w:name w:val="页脚 Char"/>
    <w:basedOn w:val="10"/>
    <w:link w:val="2"/>
    <w:qFormat/>
    <w:uiPriority w:val="99"/>
    <w:rPr>
      <w:rFonts w:ascii="Calibri" w:hAnsi="Calibri"/>
      <w:kern w:val="2"/>
      <w:sz w:val="18"/>
      <w:szCs w:val="18"/>
    </w:rPr>
  </w:style>
  <w:style w:type="character" w:customStyle="1" w:styleId="16">
    <w:name w:val="正文文本缩进 Char"/>
    <w:basedOn w:val="10"/>
    <w:link w:val="3"/>
    <w:qFormat/>
    <w:uiPriority w:val="0"/>
    <w:rPr>
      <w:rFonts w:ascii="Calibri" w:hAnsi="Calibri"/>
      <w:kern w:val="2"/>
      <w:sz w:val="21"/>
      <w:szCs w:val="24"/>
    </w:rPr>
  </w:style>
  <w:style w:type="character" w:customStyle="1" w:styleId="17">
    <w:name w:val="正文首行缩进 2 Char"/>
    <w:basedOn w:val="16"/>
    <w:link w:val="8"/>
    <w:qFormat/>
    <w:uiPriority w:val="99"/>
    <w:rPr>
      <w:rFonts w:ascii="Calibri" w:hAnsi="Calibri" w:eastAsia="仿宋_GB2312"/>
      <w:kern w:val="2"/>
      <w:sz w:val="32"/>
      <w:szCs w:val="32"/>
    </w:rPr>
  </w:style>
  <w:style w:type="paragraph" w:customStyle="1" w:styleId="18">
    <w:name w:val="ssqdname"/>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Char Char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38B6B-4D0F-48F7-9D1B-C8A50D9078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9986</Words>
  <Characters>1228</Characters>
  <Lines>10</Lines>
  <Paragraphs>22</Paragraphs>
  <TotalTime>3</TotalTime>
  <ScaleCrop>false</ScaleCrop>
  <LinksUpToDate>false</LinksUpToDate>
  <CharactersWithSpaces>11192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2021-12-03T01:48:00Z</dcterms:created>
  <dc:creator>郭胜安</dc:creator>
  <cp:lastModifiedBy>海阔天空1403016534</cp:lastModifiedBy>
  <cp:lastPrinted>2021-12-03T01:48:00Z</cp:lastPrinted>
  <dcterms:modified xsi:type="dcterms:W3CDTF">2021-12-13T07:36:48Z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08D7DC41AC1C4A5AA350E439A4AEF4E8</vt:lpwstr>
  </property>
</Properties>
</file>