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47E0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54B5F5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default" w:ascii="Times New Roman" w:hAnsi="Times New Roman" w:eastAsia="黑体" w:cs="Times New Roman"/>
          <w:sz w:val="32"/>
          <w:szCs w:val="32"/>
          <w:lang w:eastAsia="zh-CN"/>
        </w:rPr>
        <w:t>2024第4号提案办理结果清单</w:t>
      </w:r>
    </w:p>
    <w:tbl>
      <w:tblPr>
        <w:tblStyle w:val="4"/>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889"/>
      </w:tblGrid>
      <w:tr w14:paraId="54EE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6" w:type="dxa"/>
            <w:gridSpan w:val="2"/>
            <w:noWrap w:val="0"/>
            <w:vAlign w:val="top"/>
          </w:tcPr>
          <w:p w14:paraId="1688CE6D">
            <w:pPr>
              <w:numPr>
                <w:ilvl w:val="0"/>
                <w:numId w:val="0"/>
              </w:numPr>
              <w:jc w:val="both"/>
              <w:rPr>
                <w:rFonts w:hint="default" w:ascii="仿宋_GB2312" w:hAnsi="Times New Roman" w:eastAsia="仿宋_GB2312" w:cs="Times New Roman"/>
                <w:sz w:val="24"/>
                <w:szCs w:val="24"/>
                <w:vertAlign w:val="baseline"/>
                <w:lang w:val="en-US" w:eastAsia="zh-CN"/>
              </w:rPr>
            </w:pPr>
            <w:r>
              <w:rPr>
                <w:rFonts w:hint="eastAsia" w:ascii="仿宋_GB2312" w:eastAsia="仿宋_GB2312"/>
                <w:sz w:val="32"/>
                <w:szCs w:val="32"/>
                <w:vertAlign w:val="baseline"/>
                <w:lang w:eastAsia="zh-CN"/>
              </w:rPr>
              <w:t>提</w:t>
            </w:r>
            <w:r>
              <w:rPr>
                <w:rFonts w:hint="eastAsia" w:ascii="仿宋_GB2312" w:eastAsia="仿宋_GB2312"/>
                <w:sz w:val="32"/>
                <w:szCs w:val="32"/>
                <w:vertAlign w:val="baseline"/>
                <w:lang w:val="en-US" w:eastAsia="zh-CN"/>
              </w:rPr>
              <w:t xml:space="preserve"> </w:t>
            </w:r>
            <w:r>
              <w:rPr>
                <w:rFonts w:hint="eastAsia" w:ascii="仿宋_GB2312" w:eastAsia="仿宋_GB2312"/>
                <w:sz w:val="32"/>
                <w:szCs w:val="32"/>
                <w:vertAlign w:val="baseline"/>
                <w:lang w:eastAsia="zh-CN"/>
              </w:rPr>
              <w:t>案</w:t>
            </w:r>
            <w:r>
              <w:rPr>
                <w:rFonts w:hint="eastAsia" w:ascii="仿宋_GB2312" w:eastAsia="仿宋_GB2312"/>
                <w:sz w:val="32"/>
                <w:szCs w:val="32"/>
                <w:vertAlign w:val="baseline"/>
                <w:lang w:val="en-US" w:eastAsia="zh-CN"/>
              </w:rPr>
              <w:t xml:space="preserve"> </w:t>
            </w:r>
            <w:r>
              <w:rPr>
                <w:rFonts w:hint="eastAsia" w:ascii="仿宋_GB2312" w:eastAsia="仿宋_GB2312"/>
                <w:sz w:val="32"/>
                <w:szCs w:val="32"/>
                <w:vertAlign w:val="baseline"/>
                <w:lang w:eastAsia="zh-CN"/>
              </w:rPr>
              <w:t>号：</w:t>
            </w:r>
            <w:r>
              <w:rPr>
                <w:rFonts w:hint="default" w:ascii="Times New Roman" w:hAnsi="Times New Roman" w:eastAsia="仿宋_GB2312" w:cs="Times New Roman"/>
                <w:sz w:val="28"/>
                <w:szCs w:val="28"/>
                <w:vertAlign w:val="baseline"/>
                <w:lang w:val="en-US" w:eastAsia="zh-CN"/>
              </w:rPr>
              <w:t>2024年第4号</w:t>
            </w:r>
            <w:r>
              <w:rPr>
                <w:rFonts w:hint="eastAsia" w:ascii="仿宋_GB2312" w:eastAsia="仿宋_GB2312"/>
                <w:sz w:val="32"/>
                <w:szCs w:val="32"/>
                <w:vertAlign w:val="baseline"/>
                <w:lang w:val="en-US" w:eastAsia="zh-CN"/>
              </w:rPr>
              <w:t xml:space="preserve">     提案提出时间：</w:t>
            </w:r>
            <w:r>
              <w:rPr>
                <w:rFonts w:hint="eastAsia" w:ascii="Times New Roman" w:hAnsi="Times New Roman" w:eastAsia="仿宋_GB2312" w:cs="Times New Roman"/>
                <w:sz w:val="28"/>
                <w:szCs w:val="28"/>
                <w:vertAlign w:val="baseline"/>
                <w:lang w:val="en-US" w:eastAsia="zh-CN"/>
              </w:rPr>
              <w:t>2023年12月14日</w:t>
            </w:r>
          </w:p>
          <w:p w14:paraId="7EAAFC6C">
            <w:pPr>
              <w:numPr>
                <w:ilvl w:val="0"/>
                <w:numId w:val="0"/>
              </w:numPr>
              <w:jc w:val="both"/>
              <w:rPr>
                <w:rFonts w:hint="eastAsia" w:ascii="Times New Roman" w:hAnsi="Times New Roman" w:eastAsia="仿宋_GB2312" w:cs="Times New Roman"/>
                <w:sz w:val="28"/>
                <w:szCs w:val="28"/>
                <w:vertAlign w:val="baseline"/>
                <w:lang w:val="en-US" w:eastAsia="zh-CN"/>
              </w:rPr>
            </w:pPr>
            <w:r>
              <w:rPr>
                <w:rFonts w:hint="eastAsia" w:ascii="仿宋_GB2312" w:eastAsia="仿宋_GB2312"/>
                <w:sz w:val="32"/>
                <w:szCs w:val="32"/>
                <w:vertAlign w:val="baseline"/>
                <w:lang w:eastAsia="zh-CN"/>
              </w:rPr>
              <w:t>提</w:t>
            </w:r>
            <w:r>
              <w:rPr>
                <w:rFonts w:hint="eastAsia" w:ascii="仿宋_GB2312" w:eastAsia="仿宋_GB2312"/>
                <w:sz w:val="32"/>
                <w:szCs w:val="32"/>
                <w:vertAlign w:val="baseline"/>
                <w:lang w:val="en-US" w:eastAsia="zh-CN"/>
              </w:rPr>
              <w:t xml:space="preserve"> </w:t>
            </w:r>
            <w:r>
              <w:rPr>
                <w:rFonts w:hint="eastAsia" w:ascii="仿宋_GB2312" w:eastAsia="仿宋_GB2312"/>
                <w:sz w:val="32"/>
                <w:szCs w:val="32"/>
                <w:vertAlign w:val="baseline"/>
                <w:lang w:eastAsia="zh-CN"/>
              </w:rPr>
              <w:t>案</w:t>
            </w:r>
            <w:r>
              <w:rPr>
                <w:rFonts w:hint="eastAsia" w:ascii="仿宋_GB2312" w:eastAsia="仿宋_GB2312"/>
                <w:sz w:val="32"/>
                <w:szCs w:val="32"/>
                <w:vertAlign w:val="baseline"/>
                <w:lang w:val="en-US" w:eastAsia="zh-CN"/>
              </w:rPr>
              <w:t xml:space="preserve"> </w:t>
            </w:r>
            <w:r>
              <w:rPr>
                <w:rFonts w:hint="eastAsia" w:ascii="仿宋_GB2312" w:eastAsia="仿宋_GB2312"/>
                <w:sz w:val="32"/>
                <w:szCs w:val="32"/>
                <w:vertAlign w:val="baseline"/>
                <w:lang w:eastAsia="zh-CN"/>
              </w:rPr>
              <w:t>人：</w:t>
            </w:r>
            <w:r>
              <w:rPr>
                <w:rFonts w:hint="eastAsia" w:ascii="Times New Roman" w:hAnsi="Times New Roman" w:eastAsia="仿宋_GB2312" w:cs="Times New Roman"/>
                <w:sz w:val="28"/>
                <w:szCs w:val="28"/>
                <w:vertAlign w:val="baseline"/>
                <w:lang w:val="en-US" w:eastAsia="zh-CN"/>
              </w:rPr>
              <w:t>石学晶、张铁胥、赵志峰、宋旭英、郭河彦、宋少波</w:t>
            </w:r>
          </w:p>
          <w:p w14:paraId="10BB8832">
            <w:pPr>
              <w:numPr>
                <w:ilvl w:val="0"/>
                <w:numId w:val="0"/>
              </w:numPr>
              <w:ind w:left="0" w:leftChars="0" w:firstLine="1598" w:firstLineChars="571"/>
              <w:jc w:val="both"/>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张海燕、赵  静、张佳琰、马明坤</w:t>
            </w:r>
          </w:p>
          <w:p w14:paraId="02B19BDA">
            <w:pPr>
              <w:numPr>
                <w:ilvl w:val="0"/>
                <w:numId w:val="0"/>
              </w:numPr>
              <w:jc w:val="both"/>
              <w:rPr>
                <w:rFonts w:hint="eastAsia" w:ascii="仿宋_GB2312" w:eastAsia="仿宋_GB2312"/>
                <w:sz w:val="32"/>
                <w:szCs w:val="32"/>
                <w:vertAlign w:val="baseline"/>
                <w:lang w:eastAsia="zh-CN"/>
              </w:rPr>
            </w:pPr>
            <w:r>
              <w:rPr>
                <w:rFonts w:hint="eastAsia" w:ascii="仿宋_GB2312" w:eastAsia="仿宋_GB2312"/>
                <w:sz w:val="32"/>
                <w:szCs w:val="32"/>
                <w:vertAlign w:val="baseline"/>
                <w:lang w:eastAsia="zh-CN"/>
              </w:rPr>
              <w:t>主办单位：</w:t>
            </w:r>
            <w:r>
              <w:rPr>
                <w:rFonts w:hint="eastAsia" w:ascii="Times New Roman" w:hAnsi="Times New Roman" w:eastAsia="仿宋_GB2312" w:cs="Times New Roman"/>
                <w:sz w:val="28"/>
                <w:szCs w:val="28"/>
                <w:vertAlign w:val="baseline"/>
                <w:lang w:val="en-US" w:eastAsia="zh-CN"/>
              </w:rPr>
              <w:t>编  办、司法局</w:t>
            </w:r>
          </w:p>
          <w:p w14:paraId="3F280722">
            <w:pPr>
              <w:numPr>
                <w:ilvl w:val="0"/>
                <w:numId w:val="0"/>
              </w:numPr>
              <w:jc w:val="both"/>
              <w:rPr>
                <w:rFonts w:hint="eastAsia" w:ascii="Times New Roman" w:hAnsi="Times New Roman" w:eastAsia="仿宋_GB2312" w:cs="Times New Roman"/>
                <w:sz w:val="28"/>
                <w:szCs w:val="28"/>
                <w:vertAlign w:val="baseline"/>
                <w:lang w:val="en-US" w:eastAsia="zh-CN"/>
              </w:rPr>
            </w:pPr>
            <w:r>
              <w:rPr>
                <w:rFonts w:hint="eastAsia" w:ascii="仿宋_GB2312" w:eastAsia="仿宋_GB2312"/>
                <w:sz w:val="32"/>
                <w:szCs w:val="32"/>
                <w:vertAlign w:val="baseline"/>
                <w:lang w:eastAsia="zh-CN"/>
              </w:rPr>
              <w:t>协办单位：</w:t>
            </w:r>
            <w:r>
              <w:rPr>
                <w:rFonts w:hint="eastAsia" w:ascii="Times New Roman" w:hAnsi="Times New Roman" w:eastAsia="仿宋_GB2312" w:cs="Times New Roman"/>
                <w:sz w:val="28"/>
                <w:szCs w:val="28"/>
                <w:vertAlign w:val="baseline"/>
                <w:lang w:val="en-US" w:eastAsia="zh-CN"/>
              </w:rPr>
              <w:t>农业农村局、交通运输局、文广局、市场监管局、应急管</w:t>
            </w:r>
          </w:p>
          <w:p w14:paraId="3CCD6D37">
            <w:pPr>
              <w:numPr>
                <w:ilvl w:val="0"/>
                <w:numId w:val="0"/>
              </w:numPr>
              <w:ind w:left="0" w:leftChars="0" w:firstLine="1598" w:firstLineChars="571"/>
              <w:jc w:val="both"/>
              <w:rPr>
                <w:rFonts w:hint="eastAsia" w:ascii="仿宋_GB2312" w:eastAsia="仿宋_GB2312"/>
                <w:sz w:val="32"/>
                <w:szCs w:val="32"/>
                <w:vertAlign w:val="baseline"/>
                <w:lang w:eastAsia="zh-CN"/>
              </w:rPr>
            </w:pPr>
            <w:r>
              <w:rPr>
                <w:rFonts w:hint="eastAsia" w:ascii="Times New Roman" w:hAnsi="Times New Roman" w:eastAsia="仿宋_GB2312" w:cs="Times New Roman"/>
                <w:sz w:val="28"/>
                <w:szCs w:val="28"/>
                <w:vertAlign w:val="baseline"/>
                <w:lang w:val="en-US" w:eastAsia="zh-CN"/>
              </w:rPr>
              <w:t>理局、各乡镇（街道）</w:t>
            </w:r>
          </w:p>
        </w:tc>
      </w:tr>
      <w:tr w14:paraId="6A23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047" w:type="dxa"/>
            <w:noWrap w:val="0"/>
            <w:vAlign w:val="center"/>
          </w:tcPr>
          <w:p w14:paraId="3D7D9A62">
            <w:pPr>
              <w:numPr>
                <w:ilvl w:val="0"/>
                <w:numId w:val="0"/>
              </w:numPr>
              <w:jc w:val="both"/>
              <w:rPr>
                <w:rFonts w:hint="default" w:ascii="仿宋_GB2312" w:eastAsia="仿宋_GB2312"/>
                <w:sz w:val="32"/>
                <w:szCs w:val="32"/>
                <w:vertAlign w:val="baseline"/>
                <w:lang w:val="en-US" w:eastAsia="zh-CN"/>
              </w:rPr>
            </w:pPr>
            <w:r>
              <w:rPr>
                <w:rFonts w:hint="default" w:ascii="Times New Roman" w:hAnsi="Times New Roman" w:eastAsia="仿宋_GB2312" w:cs="Times New Roman"/>
                <w:sz w:val="32"/>
                <w:szCs w:val="32"/>
                <w:vertAlign w:val="baseline"/>
                <w:lang w:eastAsia="zh-CN"/>
              </w:rPr>
              <w:t>建议</w:t>
            </w:r>
            <w:r>
              <w:rPr>
                <w:rFonts w:hint="default" w:ascii="Times New Roman" w:hAnsi="Times New Roman" w:eastAsia="仿宋_GB2312" w:cs="Times New Roman"/>
                <w:sz w:val="32"/>
                <w:szCs w:val="32"/>
                <w:vertAlign w:val="baseline"/>
                <w:lang w:val="en-US" w:eastAsia="zh-CN"/>
              </w:rPr>
              <w:t>1</w:t>
            </w:r>
          </w:p>
        </w:tc>
        <w:tc>
          <w:tcPr>
            <w:tcW w:w="6889" w:type="dxa"/>
            <w:noWrap w:val="0"/>
            <w:vAlign w:val="center"/>
          </w:tcPr>
          <w:p w14:paraId="7421D654">
            <w:pPr>
              <w:numPr>
                <w:ilvl w:val="0"/>
                <w:numId w:val="0"/>
              </w:numPr>
              <w:jc w:val="both"/>
              <w:rPr>
                <w:rFonts w:hint="eastAsia" w:ascii="仿宋_GB2312" w:hAnsi="Times New Roman" w:eastAsia="仿宋_GB2312" w:cs="Times New Roman"/>
                <w:sz w:val="24"/>
                <w:szCs w:val="24"/>
                <w:vertAlign w:val="baseline"/>
                <w:lang w:eastAsia="zh-CN"/>
              </w:rPr>
            </w:pPr>
            <w:r>
              <w:rPr>
                <w:rFonts w:hint="eastAsia" w:ascii="仿宋_GB2312" w:hAnsi="Times New Roman" w:eastAsia="仿宋_GB2312" w:cs="Times New Roman"/>
                <w:sz w:val="24"/>
                <w:szCs w:val="24"/>
                <w:vertAlign w:val="baseline"/>
                <w:lang w:val="en-US" w:eastAsia="zh-CN"/>
              </w:rPr>
              <w:t xml:space="preserve">    </w:t>
            </w:r>
            <w:r>
              <w:rPr>
                <w:rFonts w:hint="eastAsia" w:ascii="Times New Roman" w:hAnsi="Times New Roman" w:eastAsia="仿宋_GB2312" w:cs="Times New Roman"/>
                <w:sz w:val="28"/>
                <w:szCs w:val="28"/>
                <w:vertAlign w:val="baseline"/>
                <w:lang w:val="en-US" w:eastAsia="zh-CN"/>
              </w:rPr>
              <w:t>深化基层执法改革，推进规范文明执法。</w:t>
            </w:r>
          </w:p>
        </w:tc>
      </w:tr>
      <w:tr w14:paraId="2E66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047" w:type="dxa"/>
            <w:noWrap w:val="0"/>
            <w:vAlign w:val="center"/>
          </w:tcPr>
          <w:p w14:paraId="184DC239">
            <w:pPr>
              <w:numPr>
                <w:ilvl w:val="0"/>
                <w:numId w:val="0"/>
              </w:numPr>
              <w:jc w:val="both"/>
              <w:rPr>
                <w:rFonts w:hint="eastAsia" w:ascii="仿宋_GB2312" w:eastAsia="仿宋_GB2312"/>
                <w:sz w:val="32"/>
                <w:szCs w:val="32"/>
                <w:vertAlign w:val="baseline"/>
                <w:lang w:eastAsia="zh-CN"/>
              </w:rPr>
            </w:pPr>
            <w:r>
              <w:rPr>
                <w:rFonts w:hint="eastAsia" w:ascii="仿宋_GB2312" w:eastAsia="仿宋_GB2312"/>
                <w:sz w:val="32"/>
                <w:szCs w:val="32"/>
                <w:vertAlign w:val="baseline"/>
                <w:lang w:eastAsia="zh-CN"/>
              </w:rPr>
              <w:t>当年完成的事项</w:t>
            </w:r>
          </w:p>
        </w:tc>
        <w:tc>
          <w:tcPr>
            <w:tcW w:w="6889" w:type="dxa"/>
            <w:noWrap w:val="0"/>
            <w:vAlign w:val="center"/>
          </w:tcPr>
          <w:p w14:paraId="2C79BB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sz w:val="28"/>
                <w:szCs w:val="28"/>
                <w:vertAlign w:val="baseline"/>
                <w:lang w:val="en-US" w:eastAsia="zh-CN"/>
              </w:rPr>
            </w:pPr>
            <w:r>
              <w:rPr>
                <w:rFonts w:hint="eastAsia" w:ascii="仿宋_GB2312" w:hAnsi="Times New Roman" w:eastAsia="仿宋_GB2312" w:cs="Times New Roman"/>
                <w:sz w:val="24"/>
                <w:szCs w:val="24"/>
                <w:vertAlign w:val="baseline"/>
                <w:lang w:val="en-US" w:eastAsia="zh-CN"/>
              </w:rPr>
              <w:t xml:space="preserve">    </w:t>
            </w:r>
            <w:r>
              <w:rPr>
                <w:rFonts w:hint="eastAsia" w:ascii="Times New Roman" w:hAnsi="Times New Roman" w:eastAsia="仿宋_GB2312" w:cs="Times New Roman"/>
                <w:b/>
                <w:bCs/>
                <w:sz w:val="28"/>
                <w:szCs w:val="28"/>
                <w:vertAlign w:val="baseline"/>
                <w:lang w:val="en-US" w:eastAsia="zh-CN"/>
              </w:rPr>
              <w:t>1.优化配置执法人员。</w:t>
            </w:r>
            <w:r>
              <w:rPr>
                <w:rFonts w:hint="eastAsia" w:ascii="Times New Roman" w:hAnsi="Times New Roman" w:eastAsia="仿宋_GB2312" w:cs="Times New Roman"/>
                <w:sz w:val="28"/>
                <w:szCs w:val="28"/>
                <w:vertAlign w:val="baseline"/>
                <w:lang w:val="en-US" w:eastAsia="zh-CN"/>
              </w:rPr>
              <w:t>严格落实行政执法人员持证上岗和资格管理制度，3月组织各乡镇参加吴忠市统一举办的2024年乡镇行政执法人员综合法律知识考试，8月组织开展2024年度全县行政执法人员综合法律知识考试。组织各乡镇（街道）将持证人员安置在乡镇综合执法办公室岗位，截至目前，乡镇综合执法办公室执法岗位工作人员持证率91%。</w:t>
            </w:r>
          </w:p>
          <w:p w14:paraId="48E696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　　</w:t>
            </w:r>
            <w:r>
              <w:rPr>
                <w:rFonts w:hint="eastAsia" w:ascii="Times New Roman" w:hAnsi="Times New Roman" w:eastAsia="仿宋_GB2312" w:cs="Times New Roman"/>
                <w:b/>
                <w:bCs/>
                <w:sz w:val="28"/>
                <w:szCs w:val="28"/>
                <w:vertAlign w:val="baseline"/>
                <w:lang w:val="en-US" w:eastAsia="zh-CN"/>
              </w:rPr>
              <w:t>2.加强部门联合培训。</w:t>
            </w:r>
            <w:r>
              <w:rPr>
                <w:rFonts w:hint="eastAsia" w:ascii="Times New Roman" w:hAnsi="Times New Roman" w:eastAsia="仿宋_GB2312" w:cs="Times New Roman"/>
                <w:sz w:val="28"/>
                <w:szCs w:val="28"/>
                <w:vertAlign w:val="baseline"/>
                <w:lang w:val="en-US" w:eastAsia="zh-CN"/>
              </w:rPr>
              <w:t>按照“谁赋权谁培训、谁委托谁培训”的原则，督促农业农村局、应急管理局、自然资源局、林草局等行政执法部门，对承接本领域行政执法事项的乡镇（街道）综合行政执法队伍进行业务知识和行政执法技能培训指导。截至目前，自然资源局、应急管理局、林草局对乡镇（街道）行政执法人员进行</w:t>
            </w:r>
            <w:r>
              <w:rPr>
                <w:rFonts w:hint="eastAsia" w:ascii="Times New Roman" w:hAnsi="Times New Roman" w:eastAsia="仿宋_GB2312" w:cs="Times New Roman"/>
                <w:spacing w:val="-6"/>
                <w:sz w:val="28"/>
                <w:szCs w:val="28"/>
                <w:vertAlign w:val="baseline"/>
                <w:lang w:val="en-US" w:eastAsia="zh-CN"/>
              </w:rPr>
              <w:t>业务培训，水务局、市生态环境局盐池分局开展联合培训。</w:t>
            </w:r>
          </w:p>
          <w:p w14:paraId="1285DC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　　</w:t>
            </w:r>
            <w:r>
              <w:rPr>
                <w:rFonts w:hint="eastAsia" w:ascii="Times New Roman" w:hAnsi="Times New Roman" w:eastAsia="仿宋_GB2312" w:cs="Times New Roman"/>
                <w:b/>
                <w:bCs/>
                <w:sz w:val="28"/>
                <w:szCs w:val="28"/>
                <w:vertAlign w:val="baseline"/>
                <w:lang w:val="en-US" w:eastAsia="zh-CN"/>
              </w:rPr>
              <w:t>3.明确行政执法事项。</w:t>
            </w:r>
            <w:r>
              <w:rPr>
                <w:rFonts w:hint="eastAsia" w:ascii="Times New Roman" w:hAnsi="Times New Roman" w:eastAsia="仿宋_GB2312" w:cs="Times New Roman"/>
                <w:sz w:val="28"/>
                <w:szCs w:val="28"/>
                <w:vertAlign w:val="baseline"/>
                <w:lang w:val="en-US" w:eastAsia="zh-CN"/>
              </w:rPr>
              <w:t>制发并公布《盐池县乡镇（街道）行政执法事项清单（2024年版）》（盐政办发〔2024〕8号），梳理127项行政执法事项，现各乡镇（街道）综合执法办公室主要执法事项为禁牧执法，其他事项由其他业务岗位办理。</w:t>
            </w:r>
          </w:p>
          <w:p w14:paraId="714441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jc w:val="both"/>
              <w:textAlignment w:val="auto"/>
              <w:rPr>
                <w:rFonts w:hint="eastAsia" w:ascii="仿宋_GB2312" w:eastAsia="仿宋_GB2312"/>
                <w:sz w:val="32"/>
                <w:szCs w:val="32"/>
                <w:vertAlign w:val="baseline"/>
                <w:lang w:eastAsia="zh-CN"/>
              </w:rPr>
            </w:pPr>
            <w:r>
              <w:rPr>
                <w:rFonts w:hint="eastAsia" w:ascii="Times New Roman" w:hAnsi="Times New Roman" w:eastAsia="仿宋_GB2312" w:cs="Times New Roman"/>
                <w:b/>
                <w:bCs/>
                <w:sz w:val="28"/>
                <w:szCs w:val="28"/>
                <w:vertAlign w:val="baseline"/>
                <w:lang w:val="en-US" w:eastAsia="zh-CN"/>
              </w:rPr>
              <w:t>4.切实提高重视程度。</w:t>
            </w:r>
            <w:r>
              <w:rPr>
                <w:rFonts w:hint="eastAsia" w:ascii="Times New Roman" w:hAnsi="Times New Roman" w:eastAsia="仿宋_GB2312" w:cs="Times New Roman"/>
                <w:sz w:val="28"/>
                <w:szCs w:val="28"/>
                <w:vertAlign w:val="baseline"/>
                <w:lang w:val="en-US" w:eastAsia="zh-CN"/>
              </w:rPr>
              <w:t>将乡镇（街道）综合执法情况作为法治政府建设重点内容，纳入法治政府专报，呈报县委、政府主要领导和分管领导。县委依法治县办主任亲自带队进行实地调研，组织召开座谈会，了解乡镇（街道）综合执法和执法设备保障情况，并就相关问题进行沟通研讨和安排部署。</w:t>
            </w:r>
          </w:p>
        </w:tc>
      </w:tr>
      <w:tr w14:paraId="1693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047" w:type="dxa"/>
            <w:noWrap w:val="0"/>
            <w:vAlign w:val="center"/>
          </w:tcPr>
          <w:p w14:paraId="52C6C63E">
            <w:pPr>
              <w:numPr>
                <w:ilvl w:val="0"/>
                <w:numId w:val="0"/>
              </w:numPr>
              <w:jc w:val="both"/>
              <w:rPr>
                <w:rFonts w:hint="default" w:ascii="仿宋_GB2312" w:eastAsia="仿宋_GB2312"/>
                <w:sz w:val="32"/>
                <w:szCs w:val="32"/>
                <w:vertAlign w:val="baseline"/>
                <w:lang w:val="en-US" w:eastAsia="zh-CN"/>
              </w:rPr>
            </w:pPr>
            <w:r>
              <w:rPr>
                <w:rFonts w:hint="default" w:ascii="Times New Roman" w:hAnsi="Times New Roman" w:eastAsia="仿宋_GB2312" w:cs="Times New Roman"/>
                <w:sz w:val="32"/>
                <w:szCs w:val="32"/>
                <w:vertAlign w:val="baseline"/>
                <w:lang w:eastAsia="zh-CN"/>
              </w:rPr>
              <w:t>建议</w:t>
            </w:r>
            <w:r>
              <w:rPr>
                <w:rFonts w:hint="default" w:ascii="Times New Roman" w:hAnsi="Times New Roman" w:eastAsia="仿宋_GB2312" w:cs="Times New Roman"/>
                <w:sz w:val="32"/>
                <w:szCs w:val="32"/>
                <w:vertAlign w:val="baseline"/>
                <w:lang w:val="en-US" w:eastAsia="zh-CN"/>
              </w:rPr>
              <w:t>2</w:t>
            </w:r>
          </w:p>
        </w:tc>
        <w:tc>
          <w:tcPr>
            <w:tcW w:w="6889" w:type="dxa"/>
            <w:noWrap w:val="0"/>
            <w:vAlign w:val="center"/>
          </w:tcPr>
          <w:p w14:paraId="64CC2E82">
            <w:pPr>
              <w:numPr>
                <w:ilvl w:val="0"/>
                <w:numId w:val="0"/>
              </w:numPr>
              <w:jc w:val="both"/>
              <w:rPr>
                <w:rFonts w:hint="eastAsia" w:ascii="仿宋_GB2312" w:hAnsi="Times New Roman" w:eastAsia="仿宋_GB2312" w:cs="Times New Roman"/>
                <w:sz w:val="24"/>
                <w:szCs w:val="24"/>
                <w:vertAlign w:val="baseline"/>
                <w:lang w:val="en-US" w:eastAsia="zh-CN"/>
              </w:rPr>
            </w:pPr>
            <w:r>
              <w:rPr>
                <w:rFonts w:hint="eastAsia" w:ascii="仿宋_GB2312" w:hAnsi="Times New Roman" w:eastAsia="仿宋_GB2312" w:cs="Times New Roman"/>
                <w:sz w:val="24"/>
                <w:szCs w:val="24"/>
                <w:vertAlign w:val="baseline"/>
                <w:lang w:val="en-US" w:eastAsia="zh-CN"/>
              </w:rPr>
              <w:t xml:space="preserve">    </w:t>
            </w:r>
            <w:r>
              <w:rPr>
                <w:rFonts w:hint="eastAsia" w:ascii="Times New Roman" w:hAnsi="Times New Roman" w:eastAsia="仿宋_GB2312" w:cs="Times New Roman"/>
                <w:sz w:val="28"/>
                <w:szCs w:val="28"/>
                <w:vertAlign w:val="baseline"/>
                <w:lang w:val="en-US" w:eastAsia="zh-CN"/>
              </w:rPr>
              <w:t>提升人员专业素养，规范完善执法程序。</w:t>
            </w:r>
          </w:p>
        </w:tc>
      </w:tr>
      <w:tr w14:paraId="61E5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6" w:hRule="atLeast"/>
        </w:trPr>
        <w:tc>
          <w:tcPr>
            <w:tcW w:w="2047" w:type="dxa"/>
            <w:noWrap w:val="0"/>
            <w:vAlign w:val="center"/>
          </w:tcPr>
          <w:p w14:paraId="3A18E3C2">
            <w:pPr>
              <w:numPr>
                <w:ilvl w:val="0"/>
                <w:numId w:val="0"/>
              </w:numPr>
              <w:jc w:val="both"/>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eastAsia="zh-CN"/>
              </w:rPr>
              <w:t>当年完成的事项</w:t>
            </w:r>
          </w:p>
        </w:tc>
        <w:tc>
          <w:tcPr>
            <w:tcW w:w="6889" w:type="dxa"/>
            <w:noWrap w:val="0"/>
            <w:vAlign w:val="center"/>
          </w:tcPr>
          <w:p w14:paraId="469A32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sz w:val="28"/>
                <w:szCs w:val="28"/>
                <w:vertAlign w:val="baseline"/>
                <w:lang w:val="en-US" w:eastAsia="zh-CN"/>
              </w:rPr>
            </w:pPr>
            <w:r>
              <w:rPr>
                <w:rFonts w:hint="eastAsia" w:ascii="仿宋_GB2312" w:hAnsi="Times New Roman" w:eastAsia="仿宋_GB2312" w:cs="Times New Roman"/>
                <w:sz w:val="24"/>
                <w:szCs w:val="24"/>
                <w:vertAlign w:val="baseline"/>
                <w:lang w:val="en-US" w:eastAsia="zh-CN"/>
              </w:rPr>
              <w:t xml:space="preserve">    </w:t>
            </w:r>
            <w:r>
              <w:rPr>
                <w:rFonts w:hint="eastAsia" w:ascii="Times New Roman" w:hAnsi="Times New Roman" w:eastAsia="仿宋_GB2312" w:cs="Times New Roman"/>
                <w:b/>
                <w:bCs/>
                <w:sz w:val="28"/>
                <w:szCs w:val="28"/>
                <w:vertAlign w:val="baseline"/>
                <w:lang w:val="en-US" w:eastAsia="zh-CN"/>
              </w:rPr>
              <w:t>1.开展行政执法轮训。</w:t>
            </w:r>
            <w:r>
              <w:rPr>
                <w:rFonts w:hint="eastAsia" w:ascii="Times New Roman" w:hAnsi="Times New Roman" w:eastAsia="仿宋_GB2312" w:cs="Times New Roman"/>
                <w:sz w:val="28"/>
                <w:szCs w:val="28"/>
                <w:vertAlign w:val="baseline"/>
                <w:lang w:val="en-US" w:eastAsia="zh-CN"/>
              </w:rPr>
              <w:t>印发《关于开展全县行政执法人员培训的通知》，各级行政执法机关开展行政执法“线上+线下”培训完成率100%。举办两期全县行政执法人员综合法律知识暨基层治理能力提升专题培训班和全县乡镇（街道）学习习近平法治思想暨行政执法人员业务能力培训班。</w:t>
            </w:r>
          </w:p>
          <w:p w14:paraId="0C309B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jc w:val="both"/>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2.执法点单上门培训。</w:t>
            </w:r>
            <w:r>
              <w:rPr>
                <w:rFonts w:hint="eastAsia" w:ascii="Times New Roman" w:hAnsi="Times New Roman" w:eastAsia="仿宋_GB2312" w:cs="Times New Roman"/>
                <w:sz w:val="28"/>
                <w:szCs w:val="28"/>
                <w:vertAlign w:val="baseline"/>
                <w:lang w:val="en-US" w:eastAsia="zh-CN"/>
              </w:rPr>
              <w:t>坚持“先摸底、再点单”原则，县司法局到各乡镇实地调研摸底，广泛听取培训需求和建议，为惠安堡镇提供“送课上门”服务，为花马池镇、高沙窝镇、青山乡等乡镇执法人员执法案卷制作提供现场指导服务。举行乡镇（街道）行政处罚案卷制作培训会，以真实案件为示例，从规范执法程序到案卷制作逐一讲解。</w:t>
            </w:r>
          </w:p>
          <w:p w14:paraId="3ADD8A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jc w:val="both"/>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3.规范行政执法程序。</w:t>
            </w:r>
            <w:r>
              <w:rPr>
                <w:rFonts w:hint="eastAsia" w:ascii="Times New Roman" w:hAnsi="Times New Roman" w:eastAsia="仿宋_GB2312" w:cs="Times New Roman"/>
                <w:sz w:val="28"/>
                <w:szCs w:val="28"/>
                <w:vertAlign w:val="baseline"/>
                <w:lang w:val="en-US" w:eastAsia="zh-CN"/>
              </w:rPr>
              <w:t>组织各乡镇（街道）开展2024年度全县行政执法案卷自查自评，大水坑镇、高沙窝镇、冯记沟乡参加全市行政执法案卷评查。下发了行政执法监督督办函，责令限期整改落实。向各乡镇（街道）印发《宁夏回族自治区基层综合行政执法文书参考样式（试行）》，制作乡镇（街道）行政处罚普通程序、简易程序文书范本，指导乡镇规范制作禁牧执法案卷。</w:t>
            </w:r>
          </w:p>
          <w:p w14:paraId="141BA1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Times New Roman" w:eastAsia="仿宋_GB2312" w:cs="Times New Roman"/>
                <w:sz w:val="24"/>
                <w:szCs w:val="24"/>
                <w:vertAlign w:val="baseline"/>
                <w:lang w:val="en-US" w:eastAsia="zh-CN"/>
              </w:rPr>
            </w:pPr>
            <w:r>
              <w:rPr>
                <w:rFonts w:hint="eastAsia" w:ascii="Times New Roman" w:hAnsi="Times New Roman" w:eastAsia="仿宋_GB2312" w:cs="Times New Roman"/>
                <w:sz w:val="28"/>
                <w:szCs w:val="28"/>
                <w:vertAlign w:val="baseline"/>
                <w:lang w:val="en-US" w:eastAsia="zh-CN"/>
              </w:rPr>
              <w:t>　　</w:t>
            </w:r>
            <w:r>
              <w:rPr>
                <w:rFonts w:hint="eastAsia" w:ascii="Times New Roman" w:hAnsi="Times New Roman" w:eastAsia="仿宋_GB2312" w:cs="Times New Roman"/>
                <w:b/>
                <w:bCs/>
                <w:sz w:val="28"/>
                <w:szCs w:val="28"/>
                <w:vertAlign w:val="baseline"/>
                <w:lang w:val="en-US" w:eastAsia="zh-CN"/>
              </w:rPr>
              <w:t>4.强化行政执法监督。</w:t>
            </w:r>
            <w:r>
              <w:rPr>
                <w:rFonts w:hint="eastAsia" w:ascii="Times New Roman" w:hAnsi="Times New Roman" w:eastAsia="仿宋_GB2312" w:cs="Times New Roman"/>
                <w:sz w:val="28"/>
                <w:szCs w:val="28"/>
                <w:vertAlign w:val="baseline"/>
                <w:lang w:val="en-US" w:eastAsia="zh-CN"/>
              </w:rPr>
              <w:t>启用“盐池县人民政府行政执法协调监督局”印章，配齐配强行政执法监督人员18人，其中专职人员3人，下沉到各司法所12人，司法所代表县司法局开展行政执法监督工作。在全县9个乡镇（街道）、23个执法部门设置行政执法监督机构，配备行政执法监督人员71人，县乡两级全覆盖行政执法协调监督工作体系基本建立。近期，花马池、高沙窝等司法所组织驻地乡镇评查行政执法案卷，抽评67卷。</w:t>
            </w:r>
          </w:p>
          <w:p w14:paraId="664BE922">
            <w:pPr>
              <w:numPr>
                <w:ilvl w:val="0"/>
                <w:numId w:val="0"/>
              </w:numPr>
              <w:jc w:val="both"/>
              <w:rPr>
                <w:rFonts w:hint="eastAsia" w:ascii="仿宋_GB2312" w:hAnsi="Times New Roman" w:eastAsia="仿宋_GB2312" w:cs="Times New Roman"/>
                <w:sz w:val="24"/>
                <w:szCs w:val="24"/>
                <w:vertAlign w:val="baseline"/>
                <w:lang w:val="en-US" w:eastAsia="zh-CN"/>
              </w:rPr>
            </w:pPr>
          </w:p>
        </w:tc>
      </w:tr>
      <w:tr w14:paraId="5EF0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47" w:type="dxa"/>
            <w:noWrap w:val="0"/>
            <w:vAlign w:val="center"/>
          </w:tcPr>
          <w:p w14:paraId="0CA1D021">
            <w:pPr>
              <w:numPr>
                <w:ilvl w:val="0"/>
                <w:numId w:val="0"/>
              </w:numPr>
              <w:jc w:val="both"/>
              <w:rPr>
                <w:rFonts w:hint="eastAsia" w:ascii="仿宋_GB2312" w:eastAsia="仿宋_GB2312"/>
                <w:sz w:val="32"/>
                <w:szCs w:val="32"/>
                <w:vertAlign w:val="baseline"/>
                <w:lang w:eastAsia="zh-CN"/>
              </w:rPr>
            </w:pPr>
            <w:r>
              <w:rPr>
                <w:rFonts w:hint="default" w:ascii="Times New Roman" w:hAnsi="Times New Roman" w:eastAsia="仿宋_GB2312" w:cs="Times New Roman"/>
                <w:sz w:val="32"/>
                <w:szCs w:val="32"/>
                <w:vertAlign w:val="baseline"/>
                <w:lang w:eastAsia="zh-CN"/>
              </w:rPr>
              <w:t>建议</w:t>
            </w:r>
            <w:r>
              <w:rPr>
                <w:rFonts w:hint="eastAsia" w:ascii="Times New Roman" w:hAnsi="Times New Roman" w:eastAsia="仿宋_GB2312" w:cs="Times New Roman"/>
                <w:sz w:val="32"/>
                <w:szCs w:val="32"/>
                <w:vertAlign w:val="baseline"/>
                <w:lang w:val="en-US" w:eastAsia="zh-CN"/>
              </w:rPr>
              <w:t>3</w:t>
            </w:r>
          </w:p>
        </w:tc>
        <w:tc>
          <w:tcPr>
            <w:tcW w:w="6889" w:type="dxa"/>
            <w:noWrap w:val="0"/>
            <w:vAlign w:val="center"/>
          </w:tcPr>
          <w:p w14:paraId="4B94C15B">
            <w:pPr>
              <w:numPr>
                <w:ilvl w:val="0"/>
                <w:numId w:val="0"/>
              </w:numPr>
              <w:ind w:firstLine="560" w:firstLineChars="200"/>
              <w:jc w:val="both"/>
              <w:rPr>
                <w:rFonts w:hint="eastAsia" w:ascii="仿宋_GB2312" w:hAnsi="Times New Roman" w:eastAsia="仿宋_GB2312" w:cs="Times New Roman"/>
                <w:sz w:val="24"/>
                <w:szCs w:val="24"/>
                <w:vertAlign w:val="baseline"/>
                <w:lang w:val="en-US" w:eastAsia="zh-CN"/>
              </w:rPr>
            </w:pPr>
            <w:r>
              <w:rPr>
                <w:rFonts w:hint="eastAsia" w:ascii="Times New Roman" w:hAnsi="Times New Roman" w:eastAsia="仿宋_GB2312" w:cs="Times New Roman"/>
                <w:sz w:val="28"/>
                <w:szCs w:val="28"/>
                <w:vertAlign w:val="baseline"/>
                <w:lang w:val="en-US" w:eastAsia="zh-CN"/>
              </w:rPr>
              <w:t>配备必要执法装备，保障正常执法活动。</w:t>
            </w:r>
          </w:p>
        </w:tc>
      </w:tr>
      <w:tr w14:paraId="0D43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atLeast"/>
        </w:trPr>
        <w:tc>
          <w:tcPr>
            <w:tcW w:w="2047" w:type="dxa"/>
            <w:noWrap w:val="0"/>
            <w:vAlign w:val="center"/>
          </w:tcPr>
          <w:p w14:paraId="3F619E37">
            <w:pPr>
              <w:numPr>
                <w:ilvl w:val="0"/>
                <w:numId w:val="0"/>
              </w:numPr>
              <w:jc w:val="both"/>
              <w:rPr>
                <w:rFonts w:hint="default" w:ascii="Times New Roman" w:hAnsi="Times New Roman" w:eastAsia="仿宋_GB2312" w:cs="Times New Roman"/>
                <w:sz w:val="32"/>
                <w:szCs w:val="32"/>
                <w:vertAlign w:val="baseline"/>
                <w:lang w:eastAsia="zh-CN"/>
              </w:rPr>
            </w:pPr>
            <w:r>
              <w:rPr>
                <w:rFonts w:hint="eastAsia" w:ascii="仿宋_GB2312" w:eastAsia="仿宋_GB2312"/>
                <w:sz w:val="32"/>
                <w:szCs w:val="32"/>
                <w:vertAlign w:val="baseline"/>
                <w:lang w:eastAsia="zh-CN"/>
              </w:rPr>
              <w:t>当年完成的事项</w:t>
            </w:r>
          </w:p>
        </w:tc>
        <w:tc>
          <w:tcPr>
            <w:tcW w:w="6889" w:type="dxa"/>
            <w:noWrap w:val="0"/>
            <w:vAlign w:val="center"/>
          </w:tcPr>
          <w:p w14:paraId="63528F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jc w:val="both"/>
              <w:textAlignment w:val="auto"/>
              <w:rPr>
                <w:rFonts w:hint="eastAsia" w:ascii="仿宋_GB2312" w:hAnsi="Times New Roman" w:eastAsia="仿宋_GB2312" w:cs="Times New Roman"/>
                <w:sz w:val="24"/>
                <w:szCs w:val="24"/>
                <w:vertAlign w:val="baseline"/>
                <w:lang w:val="en-US" w:eastAsia="zh-CN"/>
              </w:rPr>
            </w:pPr>
            <w:r>
              <w:rPr>
                <w:rFonts w:hint="eastAsia" w:ascii="Times New Roman" w:hAnsi="Times New Roman" w:eastAsia="仿宋_GB2312" w:cs="Times New Roman"/>
                <w:b/>
                <w:bCs/>
                <w:sz w:val="28"/>
                <w:szCs w:val="28"/>
                <w:vertAlign w:val="baseline"/>
                <w:lang w:val="en-US" w:eastAsia="zh-CN"/>
              </w:rPr>
              <w:t>加强行政执法保障。</w:t>
            </w:r>
            <w:r>
              <w:rPr>
                <w:rFonts w:hint="eastAsia" w:ascii="Times New Roman" w:hAnsi="Times New Roman" w:eastAsia="仿宋_GB2312" w:cs="Times New Roman"/>
                <w:sz w:val="28"/>
                <w:szCs w:val="28"/>
                <w:vertAlign w:val="baseline"/>
                <w:lang w:val="en-US" w:eastAsia="zh-CN"/>
              </w:rPr>
              <w:t>制发《盐池县提升行政执法质量三年行动实施方案（2023—2025年）》（盐政办发〔2023〕61号），明确行政执法保障工作由县财政局、各行政执法部门具体落实。截至目前，惠安堡镇、冯记沟乡、麻黄山乡实现执法车辆、执法服装、标志标识、执法文书、执法证件、执法记录仪“六统一”，花马池镇、大水坑镇未配备执法记录仪，青山乡、盐州路街道办未配备执法车辆。花马池镇、大水坑镇、惠安堡镇、青山乡已向县政府提交执法车辆购买申请。在2025年财政预算编制期间，通过府院联席会议、法治建设工作推进会、县法治建设微信工作群等方式，提醒、督促相关乡镇和执法部门将行政执法保障经费纳入2025年财政预算。</w:t>
            </w:r>
          </w:p>
        </w:tc>
      </w:tr>
      <w:tr w14:paraId="6CC7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047" w:type="dxa"/>
            <w:noWrap w:val="0"/>
            <w:vAlign w:val="center"/>
          </w:tcPr>
          <w:p w14:paraId="6F578A6D">
            <w:pPr>
              <w:numPr>
                <w:ilvl w:val="0"/>
                <w:numId w:val="0"/>
              </w:numPr>
              <w:jc w:val="both"/>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建议</w:t>
            </w:r>
            <w:r>
              <w:rPr>
                <w:rFonts w:hint="eastAsia" w:ascii="Times New Roman" w:hAnsi="Times New Roman" w:eastAsia="仿宋_GB2312" w:cs="Times New Roman"/>
                <w:sz w:val="32"/>
                <w:szCs w:val="32"/>
                <w:vertAlign w:val="baseline"/>
                <w:lang w:val="en-US" w:eastAsia="zh-CN"/>
              </w:rPr>
              <w:t>4</w:t>
            </w:r>
          </w:p>
        </w:tc>
        <w:tc>
          <w:tcPr>
            <w:tcW w:w="6889" w:type="dxa"/>
            <w:noWrap w:val="0"/>
            <w:vAlign w:val="center"/>
          </w:tcPr>
          <w:p w14:paraId="01B80D56">
            <w:pPr>
              <w:numPr>
                <w:ilvl w:val="0"/>
                <w:numId w:val="0"/>
              </w:numPr>
              <w:ind w:firstLine="560" w:firstLineChars="200"/>
              <w:jc w:val="both"/>
              <w:rPr>
                <w:rFonts w:hint="eastAsia" w:ascii="仿宋_GB2312" w:hAnsi="Times New Roman" w:eastAsia="仿宋_GB2312" w:cs="Times New Roman"/>
                <w:sz w:val="24"/>
                <w:szCs w:val="24"/>
                <w:vertAlign w:val="baseline"/>
                <w:lang w:val="en-US" w:eastAsia="zh-CN"/>
              </w:rPr>
            </w:pPr>
            <w:r>
              <w:rPr>
                <w:rFonts w:hint="default" w:ascii="Times New Roman" w:hAnsi="Times New Roman" w:eastAsia="仿宋_GB2312" w:cs="Times New Roman"/>
                <w:sz w:val="28"/>
                <w:szCs w:val="28"/>
                <w:vertAlign w:val="baseline"/>
                <w:lang w:val="en-US" w:eastAsia="zh-CN"/>
              </w:rPr>
              <w:t>落实两法衔接制度，强化联动协调机制。</w:t>
            </w:r>
          </w:p>
        </w:tc>
      </w:tr>
      <w:tr w14:paraId="440F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3" w:hRule="atLeast"/>
        </w:trPr>
        <w:tc>
          <w:tcPr>
            <w:tcW w:w="2047" w:type="dxa"/>
            <w:noWrap w:val="0"/>
            <w:vAlign w:val="center"/>
          </w:tcPr>
          <w:p w14:paraId="04A01E90">
            <w:pPr>
              <w:numPr>
                <w:ilvl w:val="0"/>
                <w:numId w:val="0"/>
              </w:numPr>
              <w:jc w:val="both"/>
              <w:rPr>
                <w:rFonts w:hint="default" w:ascii="Times New Roman" w:hAnsi="Times New Roman" w:eastAsia="仿宋_GB2312" w:cs="Times New Roman"/>
                <w:sz w:val="32"/>
                <w:szCs w:val="32"/>
                <w:vertAlign w:val="baseline"/>
                <w:lang w:eastAsia="zh-CN"/>
              </w:rPr>
            </w:pPr>
            <w:r>
              <w:rPr>
                <w:rFonts w:hint="eastAsia" w:ascii="仿宋_GB2312" w:eastAsia="仿宋_GB2312"/>
                <w:sz w:val="32"/>
                <w:szCs w:val="32"/>
                <w:vertAlign w:val="baseline"/>
                <w:lang w:eastAsia="zh-CN"/>
              </w:rPr>
              <w:t>当年完成的事项</w:t>
            </w:r>
          </w:p>
        </w:tc>
        <w:tc>
          <w:tcPr>
            <w:tcW w:w="6889" w:type="dxa"/>
            <w:noWrap w:val="0"/>
            <w:vAlign w:val="center"/>
          </w:tcPr>
          <w:p w14:paraId="43A272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jc w:val="both"/>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b/>
                <w:bCs/>
                <w:sz w:val="28"/>
                <w:szCs w:val="28"/>
                <w:vertAlign w:val="baseline"/>
                <w:lang w:val="en-US" w:eastAsia="zh-CN"/>
              </w:rPr>
              <w:t>1.加强部门联动协作。</w:t>
            </w:r>
            <w:r>
              <w:rPr>
                <w:rFonts w:hint="eastAsia" w:ascii="Times New Roman" w:hAnsi="Times New Roman" w:eastAsia="仿宋_GB2312" w:cs="Times New Roman"/>
                <w:sz w:val="28"/>
                <w:szCs w:val="28"/>
                <w:vertAlign w:val="baseline"/>
                <w:lang w:val="en-US" w:eastAsia="zh-CN"/>
              </w:rPr>
              <w:t>行政执法与刑事司法衔接工作由县人民检察院牵头负责。县司法局在行政执法协调监督工作中，结合法治督察、法治政府建设等工作，加强同公安机关、纪检监察机关、行政执法机关的协作配合，及时督促行政执法机关依法移交相关案件线索及证据。召开盐池县府院府检联席会议，县司法局联合县人民检察院起草印发了《盐池县府检联席会议制度》。</w:t>
            </w:r>
          </w:p>
          <w:p w14:paraId="51DF86B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jc w:val="both"/>
              <w:textAlignment w:val="auto"/>
              <w:rPr>
                <w:rFonts w:hint="eastAsia" w:ascii="仿宋_GB2312" w:hAnsi="Times New Roman" w:eastAsia="仿宋_GB2312" w:cs="Times New Roman"/>
                <w:sz w:val="24"/>
                <w:szCs w:val="24"/>
                <w:vertAlign w:val="baseline"/>
                <w:lang w:val="en-US" w:eastAsia="zh-CN"/>
              </w:rPr>
            </w:pPr>
            <w:r>
              <w:rPr>
                <w:rFonts w:hint="eastAsia" w:ascii="Times New Roman" w:hAnsi="Times New Roman" w:eastAsia="仿宋_GB2312" w:cs="Times New Roman"/>
                <w:b/>
                <w:bCs/>
                <w:sz w:val="28"/>
                <w:szCs w:val="28"/>
                <w:vertAlign w:val="baseline"/>
                <w:lang w:val="en-US" w:eastAsia="zh-CN"/>
              </w:rPr>
              <w:t>2.严格落实两法衔接。</w:t>
            </w:r>
            <w:r>
              <w:rPr>
                <w:rFonts w:hint="eastAsia" w:ascii="Times New Roman" w:hAnsi="Times New Roman" w:eastAsia="仿宋_GB2312" w:cs="Times New Roman"/>
                <w:sz w:val="28"/>
                <w:szCs w:val="28"/>
                <w:vertAlign w:val="baseline"/>
                <w:lang w:val="en-US" w:eastAsia="zh-CN"/>
              </w:rPr>
              <w:t>县公安局制定了《接报案中心（室）工作规范（试行）》，落实《宁夏公安机关行政执法与刑事司法衔接工作指引》，由法制大队负责统一案件进出口的规范流程，明确案件移送、受理、退回的条件和程序；各执法部门接收案件后细化职责分工，指定专人办理，确保责任到人，案件高效侦办。2024年以来，县公安局共接收行政机关移送案件6起，立案6起，在侦6起。暂未发现乡镇（街道）存在需要移送的案件。</w:t>
            </w:r>
          </w:p>
        </w:tc>
      </w:tr>
    </w:tbl>
    <w:p w14:paraId="1F828C9F">
      <w:pPr>
        <w:numPr>
          <w:ilvl w:val="0"/>
          <w:numId w:val="0"/>
        </w:numPr>
        <w:jc w:val="both"/>
        <w:rPr>
          <w:rFonts w:hint="eastAsia" w:ascii="仿宋_GB2312" w:eastAsia="仿宋_GB2312"/>
          <w:sz w:val="32"/>
          <w:szCs w:val="32"/>
          <w:lang w:eastAsia="zh-CN"/>
        </w:rPr>
      </w:pPr>
    </w:p>
    <w:p w14:paraId="6847EB79">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74E75"/>
    <w:rsid w:val="1B57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2024-12-26T03:05:00Z</dcterms:created>
  <dc:creator>无尽夏</dc:creator>
  <cp:lastModifiedBy>无尽夏</cp:lastModifiedBy>
  <dcterms:modified xsi:type="dcterms:W3CDTF">2024-12-26T03:06:18Z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7B49B8599BCE4727856D95B7D2936830_11</vt:lpwstr>
  </property>
</Properties>
</file>