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/>
        <w:jc w:val="both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盐池县老年人意外伤害综合保险实施方案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lang w:eastAsia="zh-CN"/>
        </w:rPr>
        <w:t>求意见稿）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</w:pPr>
      <w:r>
        <w:rPr>
          <w:rFonts w:hint="eastAsia"/>
        </w:rPr>
        <w:t>盐池</w:t>
      </w:r>
      <w:r>
        <w:t>县60周岁以上老年人达2.</w:t>
      </w:r>
      <w:r>
        <w:rPr>
          <w:rFonts w:hint="eastAsia"/>
        </w:rPr>
        <w:t>9</w:t>
      </w:r>
      <w:r>
        <w:t>万人，占总人口的</w:t>
      </w:r>
      <w:r>
        <w:rPr>
          <w:rFonts w:hint="eastAsia"/>
        </w:rPr>
        <w:t>16.8</w:t>
      </w:r>
      <w:r>
        <w:t>%</w:t>
      </w:r>
      <w:r>
        <w:rPr>
          <w:rFonts w:hint="eastAsia"/>
        </w:rPr>
        <w:t>，老年人遭遇意外伤害的风险概率较高，由此产生的费用支出，不仅给基本社会保障带来压力，也增加了家庭的经济负担</w:t>
      </w:r>
      <w:r>
        <w:t>。</w:t>
      </w:r>
      <w:r>
        <w:rPr>
          <w:rFonts w:hint="eastAsia"/>
        </w:rPr>
        <w:t>为提高老年人的意外伤害保障水平，增强</w:t>
      </w:r>
      <w:r>
        <w:t>老年人抵御风险能力，</w:t>
      </w:r>
      <w:r>
        <w:rPr>
          <w:rFonts w:hint="eastAsia"/>
        </w:rPr>
        <w:t>特</w:t>
      </w:r>
      <w:r>
        <w:t>制定本方案。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b/>
        </w:rPr>
      </w:pPr>
      <w:r>
        <w:rPr>
          <w:rFonts w:hint="eastAsia" w:ascii="黑体" w:hAnsi="黑体" w:eastAsia="黑体" w:cs="黑体"/>
        </w:rPr>
        <w:t>一</w:t>
      </w:r>
      <w:r>
        <w:rPr>
          <w:rFonts w:ascii="黑体" w:hAnsi="黑体" w:eastAsia="黑体" w:cs="黑体"/>
        </w:rPr>
        <w:t>、投保对象及保险责任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（一）投保对象。</w:t>
      </w:r>
      <w:r>
        <w:t>凡</w:t>
      </w:r>
      <w:r>
        <w:rPr>
          <w:rFonts w:hint="eastAsia"/>
        </w:rPr>
        <w:t>具</w:t>
      </w:r>
      <w:r>
        <w:t>有盐池</w:t>
      </w:r>
      <w:r>
        <w:rPr>
          <w:rFonts w:hint="eastAsia"/>
        </w:rPr>
        <w:t>县</w:t>
      </w:r>
      <w:r>
        <w:t>户籍</w:t>
      </w:r>
      <w:r>
        <w:rPr>
          <w:rFonts w:hint="eastAsia"/>
        </w:rPr>
        <w:t>或</w:t>
      </w:r>
      <w:r>
        <w:t>外地来盐生活6个月以上，女性年龄在55周岁及以上、男性年龄在60周岁及以上的老人，均可参保。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（二）投保费用及保险金额。</w:t>
      </w:r>
      <w:r>
        <w:t>保险期限为1年，自保险公司办理承保手续、收取保险费、签发保险单的次日</w:t>
      </w:r>
      <w:r>
        <w:rPr>
          <w:rFonts w:hint="eastAsia"/>
          <w:lang w:val="en-US" w:eastAsia="zh-CN"/>
        </w:rPr>
        <w:t>0</w:t>
      </w:r>
      <w:r>
        <w:t>时至期满日</w:t>
      </w:r>
      <w:r>
        <w:rPr>
          <w:rFonts w:hint="eastAsia"/>
          <w:lang w:val="en-US" w:eastAsia="zh-CN"/>
        </w:rPr>
        <w:t>24</w:t>
      </w:r>
      <w:r>
        <w:t>时止</w:t>
      </w:r>
      <w:r>
        <w:rPr>
          <w:rFonts w:hint="eastAsia"/>
        </w:rPr>
        <w:t>，</w:t>
      </w:r>
      <w:r>
        <w:t>保险期满后可继续投保</w:t>
      </w:r>
      <w:r>
        <w:rPr>
          <w:rFonts w:hint="eastAsia"/>
        </w:rPr>
        <w:t>。</w:t>
      </w:r>
      <w:r>
        <w:t>每份保费25元。</w:t>
      </w:r>
      <w:r>
        <w:rPr>
          <w:rFonts w:hint="eastAsia"/>
        </w:rPr>
        <w:t>特困供养</w:t>
      </w:r>
      <w:r>
        <w:t>老人、低保老人、重点优抚老人每</w:t>
      </w:r>
      <w:r>
        <w:rPr>
          <w:rFonts w:hint="eastAsia"/>
        </w:rPr>
        <w:t>人</w:t>
      </w:r>
      <w:r>
        <w:t>3份起保</w:t>
      </w:r>
      <w:r>
        <w:rPr>
          <w:rFonts w:hint="eastAsia"/>
        </w:rPr>
        <w:t>，</w:t>
      </w:r>
      <w:r>
        <w:t>其他</w:t>
      </w:r>
      <w:r>
        <w:rPr>
          <w:rFonts w:hint="eastAsia"/>
          <w:lang w:eastAsia="zh-CN"/>
        </w:rPr>
        <w:t>符合条件的</w:t>
      </w:r>
      <w:r>
        <w:t>老人可1份起保</w:t>
      </w:r>
      <w:r>
        <w:rPr>
          <w:rFonts w:hint="eastAsia"/>
        </w:rPr>
        <w:t>。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4"/>
        <w:gridCol w:w="3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保障内容</w:t>
            </w: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保险金额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t>意外伤害身故/意外伤害伤残</w:t>
            </w: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t>12000元/份/年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t>意外伤害医疗</w:t>
            </w: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t>3000元/份/年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t>意外伤害住院补贴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rPr>
                <w:rFonts w:hint="eastAsia"/>
              </w:rPr>
              <w:t>（</w:t>
            </w:r>
            <w:r>
              <w:t>最高180天/年</w:t>
            </w:r>
            <w:r>
              <w:rPr>
                <w:rFonts w:hint="eastAsia"/>
              </w:rPr>
              <w:t>）</w:t>
            </w: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600" w:lineRule="exact"/>
              <w:ind w:left="0" w:leftChars="0"/>
              <w:jc w:val="center"/>
              <w:textAlignment w:val="auto"/>
            </w:pPr>
            <w:r>
              <w:t>30元/天/份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（三）保险责任。</w:t>
      </w:r>
      <w:r>
        <w:t>主险保险责任为被保险人在日常生活中发生的意外伤害，包括</w:t>
      </w:r>
      <w:r>
        <w:rPr>
          <w:rFonts w:hint="eastAsia"/>
        </w:rPr>
        <w:t>：</w:t>
      </w:r>
      <w:r>
        <w:t>乘坐公交车或其</w:t>
      </w:r>
      <w:r>
        <w:rPr>
          <w:rFonts w:hint="eastAsia"/>
        </w:rPr>
        <w:t>他</w:t>
      </w:r>
      <w:r>
        <w:t>交通工具发生的人身意外伤害，户内外及公共场所发生的人身意外伤害（磕碰、高空坠物、走路摔倒、电击、溺水等）</w:t>
      </w:r>
      <w:r>
        <w:rPr>
          <w:rFonts w:hint="eastAsia"/>
        </w:rPr>
        <w:t>，因人身意外伤害引起的并发症除外</w:t>
      </w:r>
      <w: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</w:pPr>
      <w:r>
        <w:rPr>
          <w:rFonts w:hint="eastAsia"/>
        </w:rPr>
        <w:t>1.</w:t>
      </w:r>
      <w:r>
        <w:t>意外伤害医疗包含意外伤害门诊及意外伤害住院保险责任，</w:t>
      </w:r>
      <w:r>
        <w:rPr>
          <w:rFonts w:hint="eastAsia"/>
        </w:rPr>
        <w:t>每次治疗免赔额为</w:t>
      </w:r>
      <w:r>
        <w:t>100元，赔付比例为</w:t>
      </w:r>
      <w:r>
        <w:rPr>
          <w:rFonts w:hint="eastAsia"/>
        </w:rPr>
        <w:t>9</w:t>
      </w:r>
      <w:r>
        <w:t>0%。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</w:pPr>
      <w:r>
        <w:rPr>
          <w:rFonts w:hint="eastAsia"/>
        </w:rPr>
        <w:t>2.</w:t>
      </w:r>
      <w:r>
        <w:t>对参保人员在任何时间、任何地点发生的意外均承担保险责任（如</w:t>
      </w:r>
      <w:r>
        <w:rPr>
          <w:rFonts w:hint="eastAsia"/>
        </w:rPr>
        <w:t>：</w:t>
      </w:r>
      <w:r>
        <w:t>参保人员在家发生意外、在外参加集体活动时发生的意外伤害等）。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</w:t>
      </w:r>
      <w:r>
        <w:rPr>
          <w:rFonts w:ascii="黑体" w:hAnsi="黑体" w:eastAsia="黑体" w:cs="黑体"/>
        </w:rPr>
        <w:t>、投保方式及保险费缴纳方式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（一）投保方式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。</w:t>
      </w:r>
      <w:r>
        <w:t>中标保险公司协助</w:t>
      </w:r>
      <w:r>
        <w:rPr>
          <w:rFonts w:hint="eastAsia"/>
        </w:rPr>
        <w:t>各</w:t>
      </w:r>
      <w:r>
        <w:t>乡镇</w:t>
      </w:r>
      <w:r>
        <w:rPr>
          <w:rFonts w:hint="eastAsia"/>
        </w:rPr>
        <w:t>（</w:t>
      </w:r>
      <w:r>
        <w:t>村委会</w:t>
      </w:r>
      <w:r>
        <w:rPr>
          <w:rFonts w:hint="eastAsia"/>
        </w:rPr>
        <w:t>）、</w:t>
      </w:r>
      <w:r>
        <w:t>街道</w:t>
      </w:r>
      <w:r>
        <w:rPr>
          <w:rFonts w:hint="eastAsia"/>
        </w:rPr>
        <w:t>（</w:t>
      </w:r>
      <w:r>
        <w:t>居委会</w:t>
      </w:r>
      <w:r>
        <w:rPr>
          <w:rFonts w:hint="eastAsia"/>
        </w:rPr>
        <w:t>）</w:t>
      </w:r>
      <w:r>
        <w:t>登记老年人花名册</w:t>
      </w:r>
      <w:r>
        <w:rPr>
          <w:rFonts w:hint="eastAsia"/>
        </w:rPr>
        <w:t>，</w:t>
      </w:r>
      <w:r>
        <w:t>县民政局提供特困（集中、</w:t>
      </w:r>
      <w:r>
        <w:rPr>
          <w:rFonts w:hint="eastAsia"/>
        </w:rPr>
        <w:t>分散</w:t>
      </w:r>
      <w:r>
        <w:t>）供养人员</w:t>
      </w:r>
      <w:r>
        <w:rPr>
          <w:rFonts w:hint="eastAsia"/>
        </w:rPr>
        <w:t>、</w:t>
      </w:r>
      <w:r>
        <w:t>低保老</w:t>
      </w:r>
      <w:r>
        <w:rPr>
          <w:rFonts w:hint="eastAsia"/>
        </w:rPr>
        <w:t>年</w:t>
      </w:r>
      <w:r>
        <w:t>人花名册</w:t>
      </w:r>
      <w:r>
        <w:rPr>
          <w:rFonts w:hint="eastAsia"/>
        </w:rPr>
        <w:t>，县退役军人事务局</w:t>
      </w:r>
      <w:r>
        <w:t>提供重点优抚老</w:t>
      </w:r>
      <w:r>
        <w:rPr>
          <w:rFonts w:hint="eastAsia"/>
        </w:rPr>
        <w:t>年</w:t>
      </w:r>
      <w:r>
        <w:t>人花名册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分别</w:t>
      </w:r>
      <w:r>
        <w:t>汇总</w:t>
      </w:r>
      <w:r>
        <w:rPr>
          <w:rFonts w:hint="eastAsia"/>
        </w:rPr>
        <w:t>交至</w:t>
      </w:r>
      <w:r>
        <w:t>中标保险公司</w:t>
      </w:r>
      <w:r>
        <w:rPr>
          <w:rFonts w:hint="eastAsia"/>
        </w:rPr>
        <w:t>，县</w:t>
      </w:r>
      <w:r>
        <w:t>财政</w:t>
      </w:r>
      <w:r>
        <w:rPr>
          <w:rFonts w:hint="eastAsia"/>
        </w:rPr>
        <w:t>局将</w:t>
      </w:r>
      <w:r>
        <w:t>保费以转账方式转入中标保险公司指定账户</w:t>
      </w:r>
      <w:r>
        <w:rPr>
          <w:rFonts w:hint="eastAsia"/>
        </w:rPr>
        <w:t>，</w:t>
      </w:r>
      <w:r>
        <w:t>保险公司完成承保事项，出具保险单正本。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（二）保险费缴纳方式</w:t>
      </w:r>
      <w:r>
        <w:rPr>
          <w:rFonts w:hint="eastAsia" w:ascii="楷体_GB2312" w:hAnsi="楷体_GB2312" w:eastAsia="楷体_GB2312" w:cs="楷体_GB2312"/>
          <w:b/>
          <w:bCs/>
          <w:lang w:eastAsia="zh-CN"/>
        </w:rPr>
        <w:t>。</w:t>
      </w:r>
      <w:r>
        <w:rPr>
          <w:rFonts w:hint="eastAsia" w:ascii="Times New Roman" w:hAnsi="Times New Roman" w:cs="Times New Roman"/>
          <w:lang w:eastAsia="zh-CN"/>
        </w:rPr>
        <w:t>对</w:t>
      </w:r>
      <w:r>
        <w:t>具有盐池县户籍</w:t>
      </w:r>
      <w:r>
        <w:rPr>
          <w:rFonts w:hint="eastAsia"/>
        </w:rPr>
        <w:t>或</w:t>
      </w:r>
      <w:r>
        <w:t>外地来盐生活6个月以上</w:t>
      </w:r>
      <w:r>
        <w:rPr>
          <w:rFonts w:hint="eastAsia"/>
        </w:rPr>
        <w:t>，</w:t>
      </w:r>
      <w:r>
        <w:t>女性年龄在55周岁及以上、男性年龄在60周岁及以上</w:t>
      </w:r>
      <w:r>
        <w:rPr>
          <w:rFonts w:hint="eastAsia"/>
        </w:rPr>
        <w:t>的老人，分为以下</w:t>
      </w:r>
      <w:r>
        <w:rPr>
          <w:rFonts w:hint="eastAsia"/>
          <w:lang w:eastAsia="zh-CN"/>
        </w:rPr>
        <w:t>两</w:t>
      </w:r>
      <w:r>
        <w:rPr>
          <w:rFonts w:hint="eastAsia"/>
        </w:rPr>
        <w:t>类进行投保。保险费由</w:t>
      </w:r>
      <w:r>
        <w:t>县财政</w:t>
      </w:r>
      <w:r>
        <w:rPr>
          <w:rFonts w:hint="eastAsia"/>
        </w:rPr>
        <w:t>局</w:t>
      </w:r>
      <w:r>
        <w:t>出资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1.</w:t>
      </w:r>
      <w:r>
        <w:t>特困供养</w:t>
      </w:r>
      <w:r>
        <w:rPr>
          <w:rFonts w:hint="eastAsia"/>
        </w:rPr>
        <w:t>老人、</w:t>
      </w:r>
      <w:r>
        <w:t>低保老人</w:t>
      </w:r>
      <w:r>
        <w:rPr>
          <w:rFonts w:hint="eastAsia"/>
        </w:rPr>
        <w:t>和</w:t>
      </w:r>
      <w:r>
        <w:t>重点优抚老人</w:t>
      </w:r>
      <w:r>
        <w:rPr>
          <w:rFonts w:hint="eastAsia"/>
        </w:rPr>
        <w:t>，</w:t>
      </w:r>
      <w:r>
        <w:t>按照75元/人/年投保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</w:pPr>
      <w:r>
        <w:rPr>
          <w:rFonts w:hint="eastAsia"/>
        </w:rPr>
        <w:t>2.除上述老人外的其他老人</w:t>
      </w:r>
      <w:r>
        <w:t>按照25元/人/年投保。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</w:t>
      </w:r>
      <w:r>
        <w:rPr>
          <w:rFonts w:ascii="黑体" w:hAnsi="黑体" w:eastAsia="黑体" w:cs="黑体"/>
        </w:rPr>
        <w:t>、组织实施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（一）招投标</w:t>
      </w:r>
      <w:r>
        <w:rPr>
          <w:rFonts w:hint="eastAsia" w:ascii="楷体_GB2312" w:hAnsi="楷体_GB2312" w:eastAsia="楷体_GB2312" w:cs="楷体_GB2312"/>
          <w:b/>
          <w:bCs/>
        </w:rPr>
        <w:t>。</w:t>
      </w:r>
      <w:r>
        <w:t>严格按照招投标的相关规定，科学制定招标方案，</w:t>
      </w:r>
      <w:r>
        <w:rPr>
          <w:rFonts w:hint="eastAsia"/>
        </w:rPr>
        <w:t>一次招标实施2年。以</w:t>
      </w:r>
      <w:r>
        <w:t>公开招标</w:t>
      </w:r>
      <w:r>
        <w:rPr>
          <w:rFonts w:hint="eastAsia"/>
        </w:rPr>
        <w:t>的</w:t>
      </w:r>
      <w:r>
        <w:t>方式确定中标保险公司，投标方不能挂靠</w:t>
      </w:r>
      <w:r>
        <w:rPr>
          <w:rFonts w:hint="eastAsia"/>
        </w:rPr>
        <w:t>资质</w:t>
      </w:r>
      <w:r>
        <w:t>投标。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（二）招标文件</w:t>
      </w:r>
      <w:r>
        <w:rPr>
          <w:rFonts w:hint="eastAsia" w:ascii="楷体_GB2312" w:hAnsi="楷体_GB2312" w:eastAsia="楷体_GB2312" w:cs="楷体_GB2312"/>
          <w:b/>
          <w:bCs/>
        </w:rPr>
        <w:t>。</w:t>
      </w:r>
      <w:r>
        <w:t>由县民政局制定具体招标方案，发布招标文书。招标文书应当明确招标项目、投标人的资格要求、风险保证金额度、前置条件、法律责任和纠纷解决方式等约束性条款。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ascii="楷体_GB2312" w:hAnsi="楷体_GB2312" w:eastAsia="楷体_GB2312" w:cs="楷体_GB2312"/>
          <w:b/>
          <w:bCs/>
        </w:rPr>
        <w:t>（三）合同签订</w:t>
      </w:r>
      <w:r>
        <w:rPr>
          <w:rFonts w:hint="eastAsia" w:ascii="楷体_GB2312" w:hAnsi="楷体_GB2312" w:eastAsia="楷体_GB2312" w:cs="楷体_GB2312"/>
          <w:b/>
          <w:bCs/>
        </w:rPr>
        <w:t>。</w:t>
      </w:r>
      <w:r>
        <w:t>招投标确定中标保险公司后，由县民政局与中标保险公司依法签订合同</w:t>
      </w:r>
      <w:r>
        <w:rPr>
          <w:rFonts w:hint="eastAsia"/>
        </w:rPr>
        <w:t>，</w:t>
      </w:r>
      <w:r>
        <w:t>合同内容应明确双方的权利和义务、明确服务定位</w:t>
      </w:r>
      <w:r>
        <w:rPr>
          <w:rFonts w:hint="eastAsia"/>
        </w:rPr>
        <w:t>、</w:t>
      </w:r>
      <w:r>
        <w:t>明确退出机制</w:t>
      </w:r>
      <w:r>
        <w:rPr>
          <w:rFonts w:hint="eastAsia"/>
        </w:rPr>
        <w:t>、</w:t>
      </w:r>
      <w:r>
        <w:t>明确中标保险公司应承担的职责和合同期内应达到的目标等。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</w:rPr>
        <w:t>（四）中标保险公司责任。</w:t>
      </w:r>
      <w:r>
        <w:t>中标保险公司</w:t>
      </w:r>
      <w:r>
        <w:rPr>
          <w:rFonts w:hint="eastAsia"/>
          <w:lang w:eastAsia="zh-CN"/>
        </w:rPr>
        <w:t>中标后</w:t>
      </w:r>
      <w:r>
        <w:rPr>
          <w:rFonts w:hint="eastAsia"/>
        </w:rPr>
        <w:t>必须在盐池县内设有</w:t>
      </w:r>
      <w:r>
        <w:rPr>
          <w:rFonts w:hint="eastAsia"/>
          <w:lang w:eastAsia="zh-CN"/>
        </w:rPr>
        <w:t>办事</w:t>
      </w:r>
      <w:r>
        <w:rPr>
          <w:rFonts w:hint="eastAsia"/>
        </w:rPr>
        <w:t>机构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在全县每个乡镇（街道）设立联络员、保证年平均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赔付率达65%以上、保证符合条件的被保险人不因报案时间迟缓拒赔</w:t>
      </w:r>
      <w:r>
        <w:rPr>
          <w:rFonts w:hint="eastAsia"/>
        </w:rPr>
        <w:t>。</w:t>
      </w:r>
      <w:r>
        <w:t>中标保险公司</w:t>
      </w:r>
      <w:r>
        <w:rPr>
          <w:rFonts w:hint="eastAsia"/>
        </w:rPr>
        <w:t>要</w:t>
      </w:r>
      <w:r>
        <w:t>提高理赔效率，</w:t>
      </w:r>
      <w:r>
        <w:rPr>
          <w:rFonts w:hint="eastAsia"/>
        </w:rPr>
        <w:t>接到报案后，应</w:t>
      </w:r>
      <w:r>
        <w:t>及时核实案情，</w:t>
      </w:r>
      <w:r>
        <w:rPr>
          <w:rFonts w:hint="eastAsia"/>
        </w:rPr>
        <w:t>向被保险人说明</w:t>
      </w:r>
      <w:r>
        <w:t>申请理赔所需手续，</w:t>
      </w:r>
      <w:r>
        <w:rPr>
          <w:rFonts w:hint="eastAsia"/>
        </w:rPr>
        <w:t>5</w:t>
      </w:r>
      <w:r>
        <w:t>个工作日内给付保险赔款。</w:t>
      </w:r>
    </w:p>
    <w:p>
      <w:pPr>
        <w:pStyle w:val="18"/>
        <w:keepNext w:val="0"/>
        <w:keepLines w:val="0"/>
        <w:pageBreakBefore w:val="0"/>
        <w:numPr>
          <w:ilvl w:val="3"/>
          <w:numId w:val="0"/>
        </w:numPr>
        <w:kinsoku/>
        <w:overflowPunct/>
        <w:topLinePunct w:val="0"/>
        <w:bidi w:val="0"/>
        <w:spacing w:after="0" w:afterLines="0" w:line="600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、负面清单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</w:pPr>
      <w:r>
        <w:rPr>
          <w:rFonts w:hint="eastAsia"/>
        </w:rPr>
        <w:t>合同</w:t>
      </w:r>
      <w:r>
        <w:t>期内如出现下列情形之一时</w:t>
      </w:r>
      <w:r>
        <w:rPr>
          <w:rFonts w:hint="eastAsia"/>
        </w:rPr>
        <w:t>，民政局有权解除合同，并扣除相应履约风险保证金，如造成经济损失</w:t>
      </w:r>
      <w:r>
        <w:t>由中标保险公司</w:t>
      </w:r>
      <w:r>
        <w:rPr>
          <w:rFonts w:hint="eastAsia"/>
        </w:rPr>
        <w:t>承担赔偿责任。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eastAsia="仿宋_GB2312"/>
          <w:lang w:eastAsia="zh-CN"/>
        </w:rPr>
      </w:pPr>
      <w:r>
        <w:t>1</w:t>
      </w:r>
      <w:r>
        <w:rPr>
          <w:rFonts w:hint="eastAsia"/>
        </w:rPr>
        <w:t>.出现一起因</w:t>
      </w:r>
      <w:r>
        <w:rPr>
          <w:rFonts w:hint="eastAsia"/>
          <w:lang w:eastAsia="zh-CN"/>
        </w:rPr>
        <w:t>保险公司责任</w:t>
      </w:r>
      <w:r>
        <w:rPr>
          <w:rFonts w:hint="eastAsia"/>
        </w:rPr>
        <w:t>而引起保险理赔纠纷上访事件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</w:pPr>
      <w:r>
        <w:t>2</w:t>
      </w:r>
      <w:r>
        <w:rPr>
          <w:rFonts w:hint="eastAsia"/>
        </w:rPr>
        <w:t>.出现一起因</w:t>
      </w:r>
      <w:r>
        <w:rPr>
          <w:rFonts w:hint="eastAsia"/>
          <w:lang w:eastAsia="zh-CN"/>
        </w:rPr>
        <w:t>保险公司责任</w:t>
      </w:r>
      <w:r>
        <w:rPr>
          <w:rFonts w:hint="eastAsia"/>
        </w:rPr>
        <w:t>而引起保险理赔纠纷网络舆情。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0" w:firstLineChars="200"/>
        <w:textAlignment w:val="auto"/>
        <w:rPr>
          <w:b/>
        </w:rPr>
      </w:pPr>
      <w:r>
        <w:rPr>
          <w:rFonts w:hint="eastAsia" w:ascii="黑体" w:hAnsi="黑体" w:eastAsia="黑体" w:cs="黑体"/>
        </w:rPr>
        <w:t>五</w:t>
      </w:r>
      <w:r>
        <w:rPr>
          <w:rFonts w:ascii="黑体" w:hAnsi="黑体" w:eastAsia="黑体" w:cs="黑体"/>
        </w:rPr>
        <w:t>、保障措施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</w:rPr>
        <w:t>（一）</w:t>
      </w:r>
      <w:r>
        <w:rPr>
          <w:rFonts w:ascii="楷体_GB2312" w:hAnsi="楷体_GB2312" w:eastAsia="楷体_GB2312" w:cs="楷体_GB2312"/>
          <w:b/>
          <w:bCs/>
        </w:rPr>
        <w:t>加强</w:t>
      </w:r>
      <w:r>
        <w:rPr>
          <w:rFonts w:hint="eastAsia" w:ascii="楷体_GB2312" w:hAnsi="楷体_GB2312" w:eastAsia="楷体_GB2312" w:cs="楷体_GB2312"/>
          <w:b/>
          <w:bCs/>
        </w:rPr>
        <w:t>领导，精心组织</w:t>
      </w:r>
      <w:r>
        <w:rPr>
          <w:rFonts w:ascii="楷体_GB2312" w:hAnsi="楷体_GB2312" w:eastAsia="楷体_GB2312" w:cs="楷体_GB2312"/>
          <w:b/>
          <w:bCs/>
        </w:rPr>
        <w:t>。</w:t>
      </w:r>
      <w:r>
        <w:rPr>
          <w:rFonts w:hint="eastAsia"/>
        </w:rPr>
        <w:t>各相关部门要充分认识开展老年意外伤害保险的重要意义，县</w:t>
      </w:r>
      <w:r>
        <w:t>民政</w:t>
      </w:r>
      <w:r>
        <w:rPr>
          <w:rFonts w:hint="eastAsia"/>
        </w:rPr>
        <w:t>局、各乡镇（街道）负责</w:t>
      </w:r>
      <w:r>
        <w:t>统筹协调和推进此项工作，中标保险公司负责业务咨询、办理、理赔等有关活动</w:t>
      </w:r>
      <w:r>
        <w:rPr>
          <w:rFonts w:hint="eastAsia"/>
        </w:rPr>
        <w:t>，提高参保老年人的满意度，确保此项“民生工程”落到实处</w:t>
      </w:r>
      <w: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</w:rPr>
        <w:t>（二）加强协调，确保实效</w:t>
      </w:r>
      <w:r>
        <w:rPr>
          <w:rFonts w:ascii="楷体_GB2312" w:hAnsi="楷体_GB2312" w:eastAsia="楷体_GB2312" w:cs="楷体_GB2312"/>
          <w:b/>
          <w:bCs/>
        </w:rPr>
        <w:t>。</w:t>
      </w:r>
      <w:r>
        <w:t>各相关部门要高度重视老年人意外伤害保险工作，各司其职、密切配合。要坚持公平、公正、公开的原则，对政府补贴参保对象严格审核把关，严禁漏报情况发生。对审核不严、隐瞒情况和玩忽职守、徇私舞弊及其他影响老年人意外伤害保险实施的行为，依法依规处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exact"/>
        <w:ind w:left="0" w:leftChars="0" w:firstLine="642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</w:rPr>
        <w:t>（三）加大宣传，营造氛围</w:t>
      </w:r>
      <w:r>
        <w:rPr>
          <w:rFonts w:ascii="楷体_GB2312" w:hAnsi="楷体_GB2312" w:eastAsia="楷体_GB2312" w:cs="楷体_GB2312"/>
          <w:b/>
          <w:bCs/>
        </w:rPr>
        <w:t>。</w:t>
      </w:r>
      <w:r>
        <w:t>各相关部门要充分利用</w:t>
      </w:r>
      <w:r>
        <w:rPr>
          <w:rFonts w:hint="eastAsia"/>
        </w:rPr>
        <w:t>各种形式广泛开展宣传</w:t>
      </w:r>
      <w:r>
        <w:t>，</w:t>
      </w:r>
      <w:r>
        <w:rPr>
          <w:rFonts w:hint="eastAsia"/>
        </w:rPr>
        <w:t>重点宣传参保范围、参保内容、资金来源和参保程序，</w:t>
      </w:r>
      <w:r>
        <w:t>引导老年人正确认识意外伤害保险的重要意义，</w:t>
      </w:r>
      <w:r>
        <w:rPr>
          <w:rFonts w:hint="eastAsia"/>
        </w:rPr>
        <w:t>提高全社会参与的积极性</w:t>
      </w:r>
      <w: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/>
          <w:lang w:eastAsia="zh-CN"/>
        </w:rPr>
        <w:t>本方案由盐池县人民政府办公室负责解释。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line="600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ascii="Times New Roman" w:hAnsi="Times New Roman"/>
        </w:rPr>
        <w:t>本方案</w:t>
      </w:r>
      <w:r>
        <w:rPr>
          <w:rFonts w:hint="eastAsia" w:ascii="Times New Roman" w:hAnsi="Times New Roman"/>
          <w:lang w:eastAsia="zh-CN"/>
        </w:rPr>
        <w:t>有效期为</w:t>
      </w:r>
      <w:r>
        <w:rPr>
          <w:rFonts w:hint="eastAsia" w:ascii="Times New Roman" w:hAnsi="Times New Roman"/>
          <w:lang w:val="en-US" w:eastAsia="zh-CN"/>
        </w:rPr>
        <w:t xml:space="preserve">  至  。自本方案有效期起，同时废止</w:t>
      </w:r>
      <w:r>
        <w:rPr>
          <w:rFonts w:hint="eastAsia" w:ascii="Times New Roman" w:hAnsi="Times New Roman"/>
          <w:lang w:eastAsia="zh-CN"/>
        </w:rPr>
        <w:t>《</w:t>
      </w:r>
      <w:r>
        <w:rPr>
          <w:rFonts w:hint="default" w:ascii="Times New Roman" w:hAnsi="Times New Roman"/>
          <w:lang w:eastAsia="zh-CN"/>
        </w:rPr>
        <w:t>盐池县人民政府关于印发</w:t>
      </w:r>
      <w:r>
        <w:rPr>
          <w:rFonts w:hint="eastAsia" w:ascii="Times New Roman" w:hAnsi="Times New Roman"/>
        </w:rPr>
        <w:t>盐池县老年人意外伤害综合保险实施方案</w:t>
      </w:r>
      <w:r>
        <w:rPr>
          <w:rFonts w:hint="eastAsia" w:ascii="Times New Roman" w:hAnsi="Times New Roman"/>
          <w:lang w:eastAsia="zh-CN"/>
        </w:rPr>
        <w:t>的通知》</w:t>
      </w:r>
      <w:r>
        <w:rPr>
          <w:rFonts w:hint="default" w:ascii="Times New Roman" w:hAnsi="Times New Roman"/>
        </w:rPr>
        <w:t>（</w:t>
      </w:r>
      <w:r>
        <w:rPr>
          <w:rFonts w:ascii="Times New Roman" w:hAnsi="Times New Roman"/>
        </w:rPr>
        <w:t>盐</w:t>
      </w:r>
      <w:r>
        <w:rPr>
          <w:rFonts w:hint="default" w:ascii="Times New Roman" w:hAnsi="Times New Roman"/>
        </w:rPr>
        <w:t>政发</w:t>
      </w:r>
      <w:r>
        <w:rPr>
          <w:rStyle w:val="15"/>
          <w:rFonts w:hint="default" w:ascii="Times New Roman" w:hAnsi="Times New Roman"/>
          <w:b w:val="0"/>
          <w:bCs/>
        </w:rPr>
        <w:t>〔20</w:t>
      </w:r>
      <w:r>
        <w:rPr>
          <w:rStyle w:val="15"/>
          <w:rFonts w:hint="eastAsia" w:ascii="Times New Roman" w:hAnsi="Times New Roman"/>
          <w:b w:val="0"/>
          <w:bCs/>
          <w:lang w:val="en-US" w:eastAsia="zh-CN"/>
        </w:rPr>
        <w:t>24</w:t>
      </w:r>
      <w:r>
        <w:rPr>
          <w:rStyle w:val="15"/>
          <w:rFonts w:hint="default" w:ascii="Times New Roman" w:hAnsi="Times New Roman"/>
          <w:b w:val="0"/>
          <w:bCs/>
        </w:rPr>
        <w:t>〕</w:t>
      </w:r>
      <w:r>
        <w:rPr>
          <w:rStyle w:val="15"/>
          <w:rFonts w:hint="eastAsia" w:ascii="Times New Roman" w:hAnsi="Times New Roman"/>
          <w:b w:val="0"/>
          <w:bCs/>
          <w:lang w:val="en-US" w:eastAsia="zh-CN"/>
        </w:rPr>
        <w:t>22</w:t>
      </w:r>
      <w:r>
        <w:rPr>
          <w:rFonts w:hint="default" w:ascii="Times New Roman" w:hAnsi="Times New Roman"/>
        </w:rPr>
        <w:t>号）</w:t>
      </w:r>
      <w:r>
        <w:rPr>
          <w:rFonts w:ascii="Times New Roman" w:hAnsi="Times New Roma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734FF"/>
    <w:multiLevelType w:val="multilevel"/>
    <w:tmpl w:val="229734FF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lvl w:ilvl="0" w:tentative="1">
        <w:start w:val="1"/>
        <w:numFmt w:val="decimal"/>
        <w:lvlText w:val="第%1条"/>
        <w:lvlJc w:val="left"/>
        <w:pPr>
          <w:ind w:left="0" w:firstLine="0"/>
        </w:p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1843" w:firstLine="0"/>
        </w:p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2126" w:firstLine="0"/>
        </w:pPr>
      </w:lvl>
    </w:lvlOverride>
    <w:lvlOverride w:ilvl="3">
      <w:lvl w:ilvl="3" w:tentative="1">
        <w:start w:val="1"/>
        <w:numFmt w:val="decimal"/>
        <w:pStyle w:val="18"/>
        <w:lvlText w:val="%1.%2.%3.%4"/>
        <w:lvlJc w:val="left"/>
        <w:pPr>
          <w:ind w:left="710" w:firstLine="0"/>
        </w:p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YmY2NzY5NmU0YmJjNzE1Yzg2YmExNGZiNTg0MDkifQ=="/>
  </w:docVars>
  <w:rsids>
    <w:rsidRoot w:val="107C383F"/>
    <w:rsid w:val="00041A3D"/>
    <w:rsid w:val="00103809"/>
    <w:rsid w:val="00181078"/>
    <w:rsid w:val="0025058B"/>
    <w:rsid w:val="00271048"/>
    <w:rsid w:val="004C09B9"/>
    <w:rsid w:val="00584D73"/>
    <w:rsid w:val="005D7800"/>
    <w:rsid w:val="00990E4B"/>
    <w:rsid w:val="009A27A3"/>
    <w:rsid w:val="009B1135"/>
    <w:rsid w:val="00A13E83"/>
    <w:rsid w:val="00A22B3D"/>
    <w:rsid w:val="00B11000"/>
    <w:rsid w:val="00B922ED"/>
    <w:rsid w:val="00E6484D"/>
    <w:rsid w:val="00F23774"/>
    <w:rsid w:val="00F44F67"/>
    <w:rsid w:val="00FD771C"/>
    <w:rsid w:val="02C86A1A"/>
    <w:rsid w:val="068F06C2"/>
    <w:rsid w:val="06D81ABD"/>
    <w:rsid w:val="06DE5DB2"/>
    <w:rsid w:val="09E9624F"/>
    <w:rsid w:val="0A657C41"/>
    <w:rsid w:val="0AD60AB4"/>
    <w:rsid w:val="0AD73116"/>
    <w:rsid w:val="0B9B347D"/>
    <w:rsid w:val="0BAC39A2"/>
    <w:rsid w:val="0DF14750"/>
    <w:rsid w:val="0E1B7FD7"/>
    <w:rsid w:val="0EBE12DF"/>
    <w:rsid w:val="107C383F"/>
    <w:rsid w:val="121659EA"/>
    <w:rsid w:val="15CD343F"/>
    <w:rsid w:val="168F7523"/>
    <w:rsid w:val="1B4145CF"/>
    <w:rsid w:val="1BDB2463"/>
    <w:rsid w:val="1C50636E"/>
    <w:rsid w:val="1C6113BB"/>
    <w:rsid w:val="1DD342E1"/>
    <w:rsid w:val="20952F26"/>
    <w:rsid w:val="21D00F87"/>
    <w:rsid w:val="222E6F80"/>
    <w:rsid w:val="23083345"/>
    <w:rsid w:val="25C1725E"/>
    <w:rsid w:val="2BD46D32"/>
    <w:rsid w:val="2C7054FF"/>
    <w:rsid w:val="31454A7E"/>
    <w:rsid w:val="31E5413B"/>
    <w:rsid w:val="32305DCC"/>
    <w:rsid w:val="3379446B"/>
    <w:rsid w:val="36371193"/>
    <w:rsid w:val="39765712"/>
    <w:rsid w:val="3B3D00C3"/>
    <w:rsid w:val="3C85A255"/>
    <w:rsid w:val="3EDD0B8C"/>
    <w:rsid w:val="3FB755C8"/>
    <w:rsid w:val="405C4838"/>
    <w:rsid w:val="40B77611"/>
    <w:rsid w:val="438F1CCE"/>
    <w:rsid w:val="45142915"/>
    <w:rsid w:val="45AF1B15"/>
    <w:rsid w:val="48BD67A5"/>
    <w:rsid w:val="4A7F4131"/>
    <w:rsid w:val="4AC917F1"/>
    <w:rsid w:val="4BCE71F8"/>
    <w:rsid w:val="4CF77A63"/>
    <w:rsid w:val="4D231B8F"/>
    <w:rsid w:val="4D507FE3"/>
    <w:rsid w:val="4D964D02"/>
    <w:rsid w:val="4FBC446F"/>
    <w:rsid w:val="4FCB6F08"/>
    <w:rsid w:val="4FDC29E8"/>
    <w:rsid w:val="519D1C33"/>
    <w:rsid w:val="54BE02D0"/>
    <w:rsid w:val="553B571F"/>
    <w:rsid w:val="55856D73"/>
    <w:rsid w:val="55A80144"/>
    <w:rsid w:val="55C03D01"/>
    <w:rsid w:val="57932841"/>
    <w:rsid w:val="59C2714B"/>
    <w:rsid w:val="5AD05923"/>
    <w:rsid w:val="5B137B8A"/>
    <w:rsid w:val="5B914A01"/>
    <w:rsid w:val="5C493BDE"/>
    <w:rsid w:val="5DDE6C37"/>
    <w:rsid w:val="5FC53259"/>
    <w:rsid w:val="618F16C5"/>
    <w:rsid w:val="61FC6C4C"/>
    <w:rsid w:val="625572FD"/>
    <w:rsid w:val="62A9226E"/>
    <w:rsid w:val="64645D72"/>
    <w:rsid w:val="64FC2E28"/>
    <w:rsid w:val="660369C8"/>
    <w:rsid w:val="66A4309E"/>
    <w:rsid w:val="66BC2B4E"/>
    <w:rsid w:val="690B4990"/>
    <w:rsid w:val="691D5B26"/>
    <w:rsid w:val="6B6F7BF8"/>
    <w:rsid w:val="70F64DF7"/>
    <w:rsid w:val="711F2810"/>
    <w:rsid w:val="734F0E42"/>
    <w:rsid w:val="74FB290E"/>
    <w:rsid w:val="76877156"/>
    <w:rsid w:val="76A11D63"/>
    <w:rsid w:val="77FC0172"/>
    <w:rsid w:val="7BD90999"/>
    <w:rsid w:val="7BF634E8"/>
    <w:rsid w:val="7C755110"/>
    <w:rsid w:val="7CC94CFE"/>
    <w:rsid w:val="7CEC7892"/>
    <w:rsid w:val="7D823D52"/>
    <w:rsid w:val="7FF51D14"/>
    <w:rsid w:val="DD7F4033"/>
    <w:rsid w:val="FD8BA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1134"/>
    </w:pPr>
    <w:rPr>
      <w:rFonts w:hint="eastAsia"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</w:rPr>
  </w:style>
  <w:style w:type="paragraph" w:styleId="7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Normal (Web)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0"/>
  </w:style>
  <w:style w:type="character" w:customStyle="1" w:styleId="17">
    <w:name w:val="批注框文本 Char"/>
    <w:basedOn w:val="14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8">
    <w:name w:val="通用标题5"/>
    <w:qFormat/>
    <w:uiPriority w:val="0"/>
    <w:pPr>
      <w:widowControl w:val="0"/>
      <w:numPr>
        <w:ilvl w:val="3"/>
        <w:numId w:val="1"/>
      </w:numPr>
      <w:tabs>
        <w:tab w:val="left" w:pos="1134"/>
      </w:tabs>
      <w:autoSpaceDE w:val="0"/>
      <w:autoSpaceDN w:val="0"/>
      <w:adjustRightInd w:val="0"/>
      <w:snapToGrid w:val="0"/>
      <w:spacing w:after="120" w:afterLines="50" w:line="360" w:lineRule="auto"/>
      <w:jc w:val="both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1837</Words>
  <Characters>1878</Characters>
  <Lines>28</Lines>
  <Paragraphs>8</Paragraphs>
  <TotalTime>24</TotalTime>
  <ScaleCrop>false</ScaleCrop>
  <LinksUpToDate>false</LinksUpToDate>
  <CharactersWithSpaces>1882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2024-04-04T03:24:00Z</dcterms:created>
  <dc:creator>Administrator</dc:creator>
  <cp:lastModifiedBy>HW</cp:lastModifiedBy>
  <cp:lastPrinted>2025-04-15T08:54:00Z</cp:lastPrinted>
  <dcterms:modified xsi:type="dcterms:W3CDTF">2025-05-26T10:23:32Z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39F9F346FF2F4981B19354D377BC758C_13</vt:lpwstr>
  </property>
  <property fmtid="{D5CDD505-2E9C-101B-9397-08002B2CF9AE}" pid="4" name="KSOTemplateDocerSaveRecord">
    <vt:lpwstr>eyJoZGlkIjoiOGQ1OGUyYjMxYzc4MGUyYjI1OTBkZTc3NTc2YjcxNTIifQ==</vt:lpwstr>
  </property>
</Properties>
</file>