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4BE62">
      <w:pPr>
        <w:jc w:val="center"/>
        <w:rPr>
          <w:rFonts w:hint="eastAsia" w:ascii="仿宋_GB2312" w:eastAsia="仿宋_GB2312"/>
          <w:szCs w:val="32"/>
        </w:rPr>
      </w:pPr>
      <w:r>
        <w:rPr>
          <w:rFonts w:hint="eastAsia" w:ascii="黑体" w:eastAsia="黑体"/>
          <w:color w:val="FF0000"/>
          <w:sz w:val="72"/>
          <w:szCs w:val="72"/>
        </w:rPr>
        <w:t>盐 池 县 科 学 技 术 局</w:t>
      </w:r>
    </w:p>
    <w:p w14:paraId="1680D79C">
      <w:pPr>
        <w:ind w:right="416"/>
        <w:jc w:val="righ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" w:hAnsi="仿宋"/>
          <w:sz w:val="30"/>
          <w:szCs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14035" cy="0"/>
                <wp:effectExtent l="0" t="9525" r="9525" b="13334"/>
                <wp:wrapNone/>
                <wp:docPr id="102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4035" cy="0"/>
                        </a:xfrm>
                        <a:prstGeom prst="line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top:0pt;height:0pt;width:442.05pt;mso-position-horizontal:center;z-index:251659264;mso-width-relative:page;mso-height-relative:page;" filled="f" stroked="t" coordsize="21600,21600" o:gfxdata="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0mezzTAAAA&#10;AgEAAA8AAAAAAAAAAQAgAAAAIgAAAGRycy9kb3ducmV2LnhtbFBLAQIUABQAAAAIAIdO4kD0hP/o&#10;IgIAACoEAAAOAAAAAAAAAAEAIAAAACIBAABkcnMvZTJvRG9jLnhtbFBLBQYAAAAABgAGAFkBAAC2&#10;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7BE1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盐池县</w:t>
      </w: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科技局</w:t>
      </w: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  <w:t>25</w:t>
      </w:r>
      <w:r>
        <w:rPr>
          <w:rFonts w:ascii="Times New Roman" w:hAnsi="Times New Roman" w:eastAsia="方正小标宋简体" w:cs="Times New Roman"/>
          <w:sz w:val="44"/>
          <w:szCs w:val="44"/>
        </w:rPr>
        <w:t>年政府开放日活动方案</w:t>
      </w:r>
    </w:p>
    <w:p w14:paraId="05E2C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71A6F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建设法治政府、阳光政府、服务型政府，</w:t>
      </w:r>
      <w:r>
        <w:rPr>
          <w:rFonts w:ascii="Times New Roman" w:hAnsi="Times New Roman" w:eastAsia="仿宋_GB2312" w:cs="Times New Roman"/>
          <w:sz w:val="32"/>
          <w:szCs w:val="32"/>
        </w:rPr>
        <w:t>坚持以人民群众需求为导向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保障人民群众的知情权、表达权、参与权和监督权，提升政务公开工作水平，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进一步密切与群众的联系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结合我局实际，特制定本方案。</w:t>
      </w:r>
    </w:p>
    <w:p w14:paraId="18B75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一、总体要求</w:t>
      </w:r>
    </w:p>
    <w:p w14:paraId="67704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  <w:lang w:eastAsia="zh-CN"/>
        </w:rPr>
        <w:t>（一）指导思想。</w:t>
      </w:r>
      <w:r>
        <w:rPr>
          <w:rFonts w:eastAsia="仿宋_GB2312"/>
          <w:sz w:val="32"/>
          <w:szCs w:val="32"/>
        </w:rPr>
        <w:t>以习近平新时代中国特色社会主义思想为指导，</w:t>
      </w:r>
      <w:r>
        <w:rPr>
          <w:rFonts w:hint="eastAsia" w:eastAsia="仿宋_GB2312"/>
          <w:sz w:val="32"/>
          <w:szCs w:val="32"/>
          <w:lang w:eastAsia="zh-CN"/>
        </w:rPr>
        <w:t>深入贯彻党的二十大和党的二十届三中全会精神，习近平总书记考察宁夏重要讲话精神及自治区十三次党代会精神，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坚持以人民为中心的发展思想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认真落实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中央、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区市县决策部署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999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  <w:lang w:val="en-US" w:eastAsia="zh-CN"/>
        </w:rPr>
        <w:t>（二）活动目标。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通过“政府开放日”活动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，搭建科技局与广大群众之间的沟通桥梁，通过实地参观、座谈会等形式畅通沟通渠道，广泛听取群众的意见和建议，增进彼此了解与互信，助力科技创新与经济高质量发展。</w:t>
      </w:r>
    </w:p>
    <w:p w14:paraId="6BEEF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二、活动主题及时间地点</w:t>
      </w:r>
    </w:p>
    <w:p w14:paraId="4A1BA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主题：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聚焦科技赋能实效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让创新成果 “看得见”</w:t>
      </w:r>
    </w:p>
    <w:p w14:paraId="0349B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日（星期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），下午2:3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</w:p>
    <w:p w14:paraId="1D12B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地点：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盐池县科技局</w:t>
      </w:r>
    </w:p>
    <w:p w14:paraId="290F6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三、活动内容</w:t>
      </w:r>
    </w:p>
    <w:p w14:paraId="1861D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  <w:lang w:val="en-US" w:eastAsia="zh-CN"/>
        </w:rPr>
        <w:t>（一）现场观摩</w:t>
      </w:r>
      <w:r>
        <w:rPr>
          <w:rFonts w:ascii="国标楷体" w:hAnsi="国标楷体" w:eastAsia="国标楷体" w:cs="国标楷体"/>
          <w:b/>
          <w:bCs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盐池县为民致富现代农业发展有限公司（科技特派员油沙豆规模化种植）、盐池县广花家庭农场（甘草种植基地）、</w:t>
      </w:r>
      <w:r>
        <w:rPr>
          <w:rFonts w:hint="eastAsia" w:ascii="Times New Roman" w:hAnsi="方正小标宋简体" w:eastAsia="仿宋_GB2312" w:cs="Times New Roman"/>
          <w:sz w:val="32"/>
          <w:szCs w:val="32"/>
          <w:lang w:bidi="ar-SA"/>
        </w:rPr>
        <w:t>宁夏盐池宁丰生物饵料制品有限公司</w:t>
      </w:r>
      <w:r>
        <w:rPr>
          <w:rFonts w:ascii="Times New Roman" w:hAnsi="方正小标宋简体" w:eastAsia="仿宋_GB2312" w:cs="Times New Roman"/>
          <w:sz w:val="32"/>
          <w:szCs w:val="32"/>
          <w:lang w:bidi="ar-SA"/>
        </w:rPr>
        <w:t>（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 w:bidi="ar-SA"/>
        </w:rPr>
        <w:t>丰年虫、</w:t>
      </w:r>
      <w:r>
        <w:rPr>
          <w:rFonts w:ascii="仿宋_GB2312" w:hAnsi="仿宋_GB2312" w:eastAsia="仿宋_GB2312" w:cs="仿宋_GB2312"/>
          <w:sz w:val="34"/>
          <w:szCs w:val="34"/>
          <w:lang w:eastAsia="zh-CN" w:bidi="ar-SA"/>
        </w:rPr>
        <w:t>南美白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 w:bidi="ar-SA"/>
        </w:rPr>
        <w:t>对虾养殖加工</w:t>
      </w:r>
      <w:r>
        <w:rPr>
          <w:rFonts w:ascii="Times New Roman" w:hAnsi="方正小标宋简体" w:eastAsia="仿宋_GB2312" w:cs="Times New Roman"/>
          <w:sz w:val="32"/>
          <w:szCs w:val="32"/>
          <w:lang w:bidi="ar-SA"/>
        </w:rPr>
        <w:t>）</w:t>
      </w:r>
    </w:p>
    <w:p w14:paraId="17CF6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  <w:lang w:val="en-US" w:eastAsia="zh-CN"/>
        </w:rPr>
        <w:t>（二）召开座谈会</w:t>
      </w:r>
      <w:r>
        <w:rPr>
          <w:rFonts w:ascii="国标楷体" w:hAnsi="国标楷体" w:eastAsia="国标楷体" w:cs="国标楷体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1.各相关站所汇报202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年上半年重点工作完成情况；2.各代表就科技工作进行提问，各相关站所负责人答疑；3.发放意见测评表，征集对科技局工作的意见和建议。</w:t>
      </w:r>
    </w:p>
    <w:p w14:paraId="28328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四、开放对象</w:t>
      </w:r>
    </w:p>
    <w:p w14:paraId="40C55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由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bidi="ar-SA"/>
        </w:rPr>
        <w:t>工业和社会科技创新发展办公室、农业科技发展办公室、 科技特派员办公室</w:t>
      </w:r>
      <w:r>
        <w:rPr>
          <w:rFonts w:ascii="Times New Roman" w:hAnsi="Times New Roman" w:eastAsia="仿宋_GB2312" w:cs="Times New Roman"/>
          <w:bCs/>
          <w:sz w:val="32"/>
          <w:szCs w:val="32"/>
          <w:lang w:bidi="ar-SA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邀请开放对象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名。人员范围为：专家、学者、企业家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、科技特派员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等。</w:t>
      </w:r>
    </w:p>
    <w:p w14:paraId="7FA22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五、报名方式</w:t>
      </w:r>
    </w:p>
    <w:p w14:paraId="74E3B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firstLine="640"/>
        <w:rPr>
          <w:rFonts w:ascii="Times New Roman" w:hAnsi="Times New Roman" w:eastAsia="仿宋_GB2312" w:cs="Times New Roman"/>
          <w:bCs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由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bidi="ar-SA"/>
        </w:rPr>
        <w:t>工业和社会科技创新发展办公室、农业科技发展办公室、 科技特派员办公室</w:t>
      </w:r>
      <w:r>
        <w:rPr>
          <w:rFonts w:ascii="Times New Roman" w:hAnsi="Times New Roman" w:eastAsia="仿宋_GB2312" w:cs="Times New Roman"/>
          <w:bCs/>
          <w:sz w:val="32"/>
          <w:szCs w:val="32"/>
          <w:lang w:bidi="ar-SA"/>
        </w:rPr>
        <w:t>邀请进微信群（附件1）。</w:t>
      </w:r>
    </w:p>
    <w:p w14:paraId="10F7A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left="0" w:firstLine="640" w:firstLineChars="200"/>
        <w:rPr>
          <w:rFonts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六、咨询电话</w:t>
      </w:r>
    </w:p>
    <w:p w14:paraId="1A14A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left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0953-6012631</w:t>
      </w:r>
    </w:p>
    <w:p w14:paraId="75948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工作要求</w:t>
      </w:r>
    </w:p>
    <w:p w14:paraId="46B3E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firstLine="645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国标楷体" w:hAnsi="国标楷体" w:eastAsia="国标楷体" w:cs="国标楷体"/>
          <w:b/>
          <w:bCs/>
          <w:sz w:val="32"/>
          <w:szCs w:val="32"/>
          <w:lang w:val="en-US"/>
        </w:rPr>
        <w:t>（一）</w:t>
      </w:r>
      <w:r>
        <w:rPr>
          <w:rFonts w:hint="eastAsia" w:ascii="国标楷体" w:hAnsi="国标楷体" w:eastAsia="国标楷体" w:cs="国标楷体"/>
          <w:b/>
          <w:bCs/>
          <w:sz w:val="32"/>
          <w:szCs w:val="32"/>
          <w:lang w:val="en-US"/>
        </w:rPr>
        <w:t>明确工作职责。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“政府开放日”活动对于推进权力运行公开透明、促进政府依法行政和高效履行职责、增强政府驱动能力具有重要意义。局属各站所要增强责任感，凝聚合力，以高度的政治责任感落实好开放日各项工作，确保“政府开放日”活动取得实效。</w:t>
      </w:r>
    </w:p>
    <w:p w14:paraId="6461E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国标楷体" w:hAnsi="国标楷体" w:eastAsia="国标楷体" w:cs="国标楷体"/>
          <w:b/>
          <w:bCs/>
          <w:sz w:val="32"/>
          <w:szCs w:val="32"/>
          <w:lang w:val="en-US"/>
        </w:rPr>
        <w:t>（二）</w:t>
      </w:r>
      <w:r>
        <w:rPr>
          <w:rFonts w:hint="eastAsia" w:ascii="国标楷体" w:hAnsi="国标楷体" w:eastAsia="国标楷体" w:cs="国标楷体"/>
          <w:b/>
          <w:bCs/>
          <w:sz w:val="32"/>
          <w:szCs w:val="32"/>
          <w:lang w:val="en-US"/>
        </w:rPr>
        <w:t>强化组织领导。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涉及站所及相关人员要高度重视此次政府开放日活动，按照活动方案和职责分工，认真抓好各项任务落实。由办公室具体负责，各站所配合做好代表邀请、观摩点选择等活动前的准备工作，确保活动能够圆满开展。</w:t>
      </w:r>
    </w:p>
    <w:p w14:paraId="2A38E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国标楷体" w:hAnsi="国标楷体" w:eastAsia="国标楷体" w:cs="国标楷体"/>
          <w:b/>
          <w:bCs/>
          <w:sz w:val="32"/>
          <w:szCs w:val="32"/>
          <w:lang w:val="en-US"/>
        </w:rPr>
        <w:t>（三）</w:t>
      </w:r>
      <w:r>
        <w:rPr>
          <w:rFonts w:hint="eastAsia" w:ascii="国标楷体" w:hAnsi="国标楷体" w:eastAsia="国标楷体" w:cs="国标楷体"/>
          <w:b/>
          <w:bCs/>
          <w:sz w:val="32"/>
          <w:szCs w:val="32"/>
          <w:lang w:val="en-US"/>
        </w:rPr>
        <w:t>加强宣传报道。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办公室负责，积极做好每个环节的活动记录及宣传报道工作，活动当天要以悬挂横幅、推送微信公众号等方式营造良好的氛围，确保“政府开放日”活动真正达到密切联系群众的效果、进一步提升科技局整体工作水平。</w:t>
      </w:r>
    </w:p>
    <w:p w14:paraId="271B0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firstLine="5760" w:firstLineChars="1800"/>
        <w:rPr>
          <w:rFonts w:ascii="Times New Roman" w:hAnsi="Times New Roman" w:eastAsia="仿宋_GB2312" w:cs="Times New Roman"/>
          <w:sz w:val="32"/>
          <w:szCs w:val="32"/>
        </w:rPr>
      </w:pPr>
    </w:p>
    <w:p w14:paraId="3DEC0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firstLine="5760" w:firstLineChars="1800"/>
        <w:rPr>
          <w:rFonts w:ascii="Times New Roman" w:hAnsi="Times New Roman" w:eastAsia="仿宋_GB2312" w:cs="Times New Roman"/>
          <w:sz w:val="32"/>
          <w:szCs w:val="32"/>
        </w:rPr>
      </w:pPr>
    </w:p>
    <w:p w14:paraId="062C1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firstLine="5760" w:firstLineChars="1800"/>
        <w:rPr>
          <w:rFonts w:ascii="Times New Roman" w:hAnsi="Times New Roman" w:eastAsia="仿宋_GB2312" w:cs="Times New Roman"/>
          <w:sz w:val="32"/>
          <w:szCs w:val="32"/>
        </w:rPr>
      </w:pPr>
    </w:p>
    <w:p w14:paraId="52733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firstLine="4963" w:firstLineChars="1551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盐池县科学技术局</w:t>
      </w:r>
    </w:p>
    <w:p w14:paraId="774E6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firstLine="5123" w:firstLineChars="160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2025年8月25日</w:t>
      </w:r>
    </w:p>
    <w:p w14:paraId="5A72A520">
      <w:pPr>
        <w:pStyle w:val="2"/>
        <w:keepNext w:val="0"/>
        <w:keepLines w:val="0"/>
        <w:pageBreakBefore w:val="0"/>
        <w:widowControl w:val="0"/>
      </w:pPr>
    </w:p>
    <w:p w14:paraId="3B4A5E71">
      <w:pPr>
        <w:keepNext w:val="0"/>
        <w:keepLines w:val="0"/>
        <w:pageBreakBefore w:val="0"/>
        <w:widowControl w:val="0"/>
        <w:suppressLineNumbers w:val="0"/>
        <w:suppressAutoHyphens w:val="0"/>
      </w:pPr>
    </w:p>
    <w:p w14:paraId="0590E18A">
      <w:pPr>
        <w:pStyle w:val="2"/>
        <w:keepNext w:val="0"/>
        <w:keepLines w:val="0"/>
        <w:pageBreakBefore w:val="0"/>
        <w:widowControl w:val="0"/>
        <w:suppressLineNumbers w:val="0"/>
        <w:suppressAutoHyphens w:val="0"/>
      </w:pPr>
    </w:p>
    <w:p w14:paraId="6FD142B9">
      <w:pPr>
        <w:keepNext w:val="0"/>
        <w:keepLines w:val="0"/>
        <w:pageBreakBefore w:val="0"/>
        <w:widowControl w:val="0"/>
        <w:suppressLineNumbers w:val="0"/>
        <w:suppressAutoHyphens w:val="0"/>
      </w:pPr>
    </w:p>
    <w:p w14:paraId="333BF1C1">
      <w:pPr>
        <w:pStyle w:val="2"/>
        <w:keepNext w:val="0"/>
        <w:keepLines w:val="0"/>
        <w:pageBreakBefore w:val="0"/>
        <w:widowControl w:val="0"/>
        <w:suppressLineNumbers w:val="0"/>
        <w:suppressAutoHyphens w:val="0"/>
      </w:pPr>
    </w:p>
    <w:p w14:paraId="1D59B6F1">
      <w:pPr>
        <w:keepNext w:val="0"/>
        <w:keepLines w:val="0"/>
        <w:pageBreakBefore w:val="0"/>
        <w:widowControl w:val="0"/>
        <w:suppressLineNumbers w:val="0"/>
        <w:suppressAutoHyphens w:val="0"/>
      </w:pPr>
    </w:p>
    <w:p w14:paraId="2ECAA391">
      <w:pPr>
        <w:pStyle w:val="2"/>
        <w:keepNext w:val="0"/>
        <w:keepLines w:val="0"/>
        <w:pageBreakBefore w:val="0"/>
        <w:widowControl w:val="0"/>
        <w:suppressLineNumbers w:val="0"/>
        <w:suppressAutoHyphens w:val="0"/>
      </w:pPr>
    </w:p>
    <w:p w14:paraId="691BE780">
      <w:pPr>
        <w:keepNext w:val="0"/>
        <w:keepLines w:val="0"/>
        <w:pageBreakBefore w:val="0"/>
        <w:widowControl w:val="0"/>
        <w:suppressLineNumbers w:val="0"/>
        <w:suppressAutoHyphens w:val="0"/>
      </w:pPr>
    </w:p>
    <w:p w14:paraId="76481397">
      <w:pPr>
        <w:pStyle w:val="2"/>
        <w:keepNext w:val="0"/>
        <w:keepLines w:val="0"/>
        <w:pageBreakBefore w:val="0"/>
        <w:widowControl w:val="0"/>
        <w:suppressLineNumbers w:val="0"/>
        <w:suppressAutoHyphens w:val="0"/>
      </w:pPr>
    </w:p>
    <w:p w14:paraId="3472827F">
      <w:pPr>
        <w:keepNext w:val="0"/>
        <w:keepLines w:val="0"/>
        <w:pageBreakBefore w:val="0"/>
        <w:widowControl w:val="0"/>
        <w:suppressLineNumbers w:val="0"/>
        <w:suppressAutoHyphens w:val="0"/>
      </w:pPr>
    </w:p>
    <w:p w14:paraId="3B7986C5">
      <w:pPr>
        <w:pStyle w:val="2"/>
        <w:keepNext w:val="0"/>
        <w:keepLines w:val="0"/>
        <w:pageBreakBefore w:val="0"/>
        <w:widowControl w:val="0"/>
        <w:suppressLineNumbers w:val="0"/>
        <w:suppressAutoHyphens w:val="0"/>
      </w:pPr>
    </w:p>
    <w:p w14:paraId="666E29CD">
      <w:pPr>
        <w:keepNext w:val="0"/>
        <w:keepLines w:val="0"/>
        <w:pageBreakBefore w:val="0"/>
        <w:widowControl w:val="0"/>
        <w:suppressLineNumbers w:val="0"/>
        <w:suppressAutoHyphens w:val="0"/>
      </w:pPr>
    </w:p>
    <w:p w14:paraId="4C2D39EB">
      <w:pPr>
        <w:keepNext w:val="0"/>
        <w:keepLines w:val="0"/>
        <w:pageBreakBefore w:val="0"/>
        <w:widowControl w:val="0"/>
        <w:suppressLineNumbers w:val="0"/>
        <w:suppressAutoHyphens w:val="0"/>
        <w:rPr>
          <w:rFonts w:hint="eastAsia" w:ascii="国标黑体" w:hAnsi="国标黑体" w:eastAsia="国标黑体" w:cs="国标黑体"/>
          <w:sz w:val="28"/>
          <w:szCs w:val="28"/>
        </w:rPr>
      </w:pPr>
      <w:r>
        <w:rPr>
          <w:rFonts w:hint="eastAsia" w:ascii="国标黑体" w:hAnsi="国标黑体" w:eastAsia="国标黑体" w:cs="国标黑体"/>
          <w:sz w:val="28"/>
          <w:szCs w:val="28"/>
        </w:rPr>
        <w:t>附件1</w:t>
      </w:r>
    </w:p>
    <w:p w14:paraId="131921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85725" distR="85725">
            <wp:extent cx="4766310" cy="6704330"/>
            <wp:effectExtent l="0" t="0" r="0" b="0"/>
            <wp:docPr id="1027" name="图片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0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6757" cy="6704532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05442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780" w:firstLineChars="1800"/>
        <w:textAlignment w:val="auto"/>
        <w:rPr>
          <w:rFonts w:eastAsia="仿宋_GB2312"/>
          <w:lang w:eastAsia="zh-CN"/>
        </w:rPr>
      </w:pPr>
    </w:p>
    <w:p w14:paraId="1A5B91D4">
      <w:pPr>
        <w:pStyle w:val="2"/>
        <w:keepNext w:val="0"/>
        <w:keepLines w:val="0"/>
        <w:pageBreakBefore w:val="0"/>
        <w:widowControl w:val="0"/>
        <w:bidi w:val="0"/>
      </w:pPr>
    </w:p>
    <w:p w14:paraId="7D9E0991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4139A057">
      <w:pPr>
        <w:pStyle w:val="2"/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819"/>
        <w:gridCol w:w="3859"/>
        <w:gridCol w:w="2265"/>
      </w:tblGrid>
      <w:tr w14:paraId="37B24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5ED6737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序号</w:t>
            </w:r>
          </w:p>
        </w:tc>
        <w:tc>
          <w:tcPr>
            <w:tcW w:w="1819" w:type="dxa"/>
            <w:vAlign w:val="center"/>
          </w:tcPr>
          <w:p w14:paraId="65512C8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姓名</w:t>
            </w:r>
          </w:p>
        </w:tc>
        <w:tc>
          <w:tcPr>
            <w:tcW w:w="3859" w:type="dxa"/>
            <w:vAlign w:val="center"/>
          </w:tcPr>
          <w:p w14:paraId="523BB19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身份类别</w:t>
            </w:r>
          </w:p>
        </w:tc>
        <w:tc>
          <w:tcPr>
            <w:tcW w:w="2265" w:type="dxa"/>
            <w:vAlign w:val="center"/>
          </w:tcPr>
          <w:p w14:paraId="4EBF030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备注</w:t>
            </w:r>
          </w:p>
        </w:tc>
      </w:tr>
      <w:tr w14:paraId="578EE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7CB16F0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19" w:type="dxa"/>
            <w:vAlign w:val="center"/>
          </w:tcPr>
          <w:p w14:paraId="6119469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07644B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408A0CC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7214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74FF05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19" w:type="dxa"/>
            <w:vAlign w:val="center"/>
          </w:tcPr>
          <w:p w14:paraId="209C905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620F473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26FE4A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2D6D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7E55E8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819" w:type="dxa"/>
            <w:vAlign w:val="center"/>
          </w:tcPr>
          <w:p w14:paraId="43B6D7D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570CBBD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5EFBA6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3AB6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6DEF5B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819" w:type="dxa"/>
            <w:vAlign w:val="center"/>
          </w:tcPr>
          <w:p w14:paraId="17647FA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39E56ED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509B0D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61C94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3A1D41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819" w:type="dxa"/>
            <w:vAlign w:val="center"/>
          </w:tcPr>
          <w:p w14:paraId="081289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18A591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5E195E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41FB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712733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819" w:type="dxa"/>
            <w:vAlign w:val="center"/>
          </w:tcPr>
          <w:p w14:paraId="5EDD6E5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459BD29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7F7A074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6EFA1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4A82B24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819" w:type="dxa"/>
            <w:vAlign w:val="center"/>
          </w:tcPr>
          <w:p w14:paraId="76F039B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350197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41201CF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3F4A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5F58229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819" w:type="dxa"/>
            <w:vAlign w:val="center"/>
          </w:tcPr>
          <w:p w14:paraId="7EB5A1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0040794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5E7D8B9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781C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71CF235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819" w:type="dxa"/>
            <w:vAlign w:val="center"/>
          </w:tcPr>
          <w:p w14:paraId="4A8A8A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732741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13D05A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7349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471DBC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819" w:type="dxa"/>
            <w:vAlign w:val="center"/>
          </w:tcPr>
          <w:p w14:paraId="7C14B0D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358026D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4AE7E10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0CD5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8" w:type="dxa"/>
            <w:vAlign w:val="center"/>
          </w:tcPr>
          <w:p w14:paraId="2191BA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819" w:type="dxa"/>
            <w:vAlign w:val="center"/>
          </w:tcPr>
          <w:p w14:paraId="2B6CFF8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2A70A0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7D51CE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00FB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63E792F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819" w:type="dxa"/>
            <w:vAlign w:val="center"/>
          </w:tcPr>
          <w:p w14:paraId="49BB7E9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7B98215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5F67CC7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4F0C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6720804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819" w:type="dxa"/>
            <w:vAlign w:val="center"/>
          </w:tcPr>
          <w:p w14:paraId="2D37EC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64CB16F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0A5A9F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6C09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669D2F9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1819" w:type="dxa"/>
            <w:vAlign w:val="center"/>
          </w:tcPr>
          <w:p w14:paraId="3DE49DD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1685A14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2D49DD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7502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09A04E1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819" w:type="dxa"/>
            <w:vAlign w:val="center"/>
          </w:tcPr>
          <w:p w14:paraId="75F01C1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4CB53E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19D3A4B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71FE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48FDFD6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819" w:type="dxa"/>
            <w:vAlign w:val="center"/>
          </w:tcPr>
          <w:p w14:paraId="565B6F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1673F49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6BC20D9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50DF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5E1FB8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1819" w:type="dxa"/>
            <w:vAlign w:val="center"/>
          </w:tcPr>
          <w:p w14:paraId="4837E3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01476D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49DF9D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2DCC6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7CC1189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1819" w:type="dxa"/>
            <w:vAlign w:val="center"/>
          </w:tcPr>
          <w:p w14:paraId="3EDB99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0C547B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2B91C6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0643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3A3A76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819" w:type="dxa"/>
            <w:vAlign w:val="center"/>
          </w:tcPr>
          <w:p w14:paraId="5C6A87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3426DF5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494296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0B2E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7211C0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819" w:type="dxa"/>
            <w:vAlign w:val="center"/>
          </w:tcPr>
          <w:p w14:paraId="0465780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5DB3BF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1EEA6FE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6D24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69F777A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819" w:type="dxa"/>
            <w:vAlign w:val="center"/>
          </w:tcPr>
          <w:p w14:paraId="038EA48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35A749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2B1C015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6B4B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73A465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1819" w:type="dxa"/>
            <w:vAlign w:val="center"/>
          </w:tcPr>
          <w:p w14:paraId="1BDF00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7BDCE2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6931DF2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13065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40C164C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1819" w:type="dxa"/>
            <w:vAlign w:val="center"/>
          </w:tcPr>
          <w:p w14:paraId="7DFA85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1EAF888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66AFE09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  <w:tr w14:paraId="5D90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1C7EEE1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1819" w:type="dxa"/>
            <w:vAlign w:val="center"/>
          </w:tcPr>
          <w:p w14:paraId="01EE07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9" w:type="dxa"/>
            <w:vAlign w:val="center"/>
          </w:tcPr>
          <w:p w14:paraId="3CB53A8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140487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jc w:val="center"/>
              <w:rPr>
                <w:sz w:val="32"/>
                <w:szCs w:val="32"/>
              </w:rPr>
            </w:pPr>
          </w:p>
        </w:tc>
      </w:tr>
    </w:tbl>
    <w:p w14:paraId="1D9E6CB6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rPr>
          <w:rFonts w:hint="eastAsia"/>
        </w:rPr>
      </w:pPr>
      <w:r>
        <w:rPr>
          <w:sz w:val="32"/>
          <w:szCs w:val="32"/>
        </w:rPr>
        <w:t>身份类别：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专家、学者、企业家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、科技特派员、人大代表、政协委员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楷体">
    <w:altName w:val="楷体_GB2312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国标黑体">
    <w:altName w:val="黑体"/>
    <w:panose1 w:val="02000500000000000000"/>
    <w:charset w:val="86"/>
    <w:family w:val="script"/>
    <w:pitch w:val="default"/>
    <w:sig w:usb0="00000000" w:usb1="00000000" w:usb2="00000000" w:usb3="00000000" w:csb0="000600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438E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100" cy="2305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23058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29A9009C">
                          <w:pPr>
                            <w:pStyle w:val="6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>— 1 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8.15pt;width:6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OZPktcAAAAEAQAADwAAAAAAAAABACAAAAAiAAAAZHJzL2Rv&#10;d25yZXYueG1sUEsBAhQAFAAAAAgAh07iQMrNzHECAgAA9AMAAA4AAAAAAAAAAQAgAAAAJgEAAGRy&#10;cy9lMm9Eb2MueG1sUEsFBgAAAAAGAAYAWQEAAJo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29A9009C">
                    <w:pPr>
                      <w:pStyle w:val="6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>— 1 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52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heading 1 Char"/>
    <w:basedOn w:val="9"/>
    <w:link w:val="3"/>
    <w:qFormat/>
    <w:uiPriority w:val="0"/>
    <w:rPr>
      <w:rFonts w:ascii="Calibri" w:hAnsi="Calibri" w:eastAsia="宋体" w:cs="宋体"/>
      <w:b/>
      <w:bCs/>
      <w:kern w:val="44"/>
      <w:sz w:val="44"/>
      <w:szCs w:val="44"/>
      <w:lang w:val="en-US" w:eastAsia="zh-CN" w:bidi="ar-SA"/>
    </w:rPr>
  </w:style>
  <w:style w:type="character" w:customStyle="1" w:styleId="11">
    <w:name w:val="heading 2 Char"/>
    <w:basedOn w:val="9"/>
    <w:link w:val="4"/>
    <w:uiPriority w:val="0"/>
    <w:rPr>
      <w:rFonts w:ascii="Times New Roman" w:hAnsi="Times New Roman" w:eastAsia="黑体" w:cs="宋体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heading 3 Char"/>
    <w:basedOn w:val="9"/>
    <w:link w:val="5"/>
    <w:qFormat/>
    <w:uiPriority w:val="0"/>
    <w:rPr>
      <w:rFonts w:ascii="Calibri" w:hAnsi="Calibri" w:eastAsia="宋体" w:cs="宋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 pgNumType="\* ArabicDash2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137954-3D1A-4DEA-893E-CD3ECDA774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1112</Words>
  <Characters>1157</Characters>
  <Lines>0</Lines>
  <Paragraphs>50</Paragraphs>
  <TotalTime>181</TotalTime>
  <ScaleCrop>false</ScaleCrop>
  <LinksUpToDate>false</LinksUpToDate>
  <CharactersWithSpaces>1173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梦词</cp:lastModifiedBy>
  <cp:lastPrinted>2022-09-21T17:25:00Z</cp:lastPrinted>
  <dcterms:modified xsi:type="dcterms:W3CDTF">2025-08-28T08:36:57Z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411DBB013512441D8685570FBFF655C2_13</vt:lpwstr>
  </property>
  <property fmtid="{D5CDD505-2E9C-101B-9397-08002B2CF9AE}" pid="4" name="KSOTemplateDocerSaveRecord">
    <vt:lpwstr>eyJoZGlkIjoiMWNlNjU2MWNmNTA5MWQ0MTcwZWEwYTBkZjA0MGIzNmEiLCJ1c2VySWQiOiI0Njg5NjQ0MDQifQ==</vt:lpwstr>
  </property>
</Properties>
</file>